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08" w:rsidRDefault="007F2108" w:rsidP="007F21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-210"/>
        <w:tblW w:w="10161" w:type="dxa"/>
        <w:tblLayout w:type="fixed"/>
        <w:tblLook w:val="0000" w:firstRow="0" w:lastRow="0" w:firstColumn="0" w:lastColumn="0" w:noHBand="0" w:noVBand="0"/>
      </w:tblPr>
      <w:tblGrid>
        <w:gridCol w:w="3616"/>
        <w:gridCol w:w="236"/>
        <w:gridCol w:w="6309"/>
      </w:tblGrid>
      <w:tr w:rsidR="00A76A7E" w:rsidRPr="00315DA6" w:rsidTr="002E3C23">
        <w:trPr>
          <w:cantSplit/>
          <w:trHeight w:val="1522"/>
        </w:trPr>
        <w:tc>
          <w:tcPr>
            <w:tcW w:w="3616" w:type="dxa"/>
          </w:tcPr>
          <w:p w:rsidR="00A76A7E" w:rsidRPr="00315DA6" w:rsidRDefault="00A76A7E" w:rsidP="00A76A7E">
            <w:pPr>
              <w:tabs>
                <w:tab w:val="left" w:pos="1512"/>
                <w:tab w:val="left" w:pos="2592"/>
                <w:tab w:val="center" w:pos="4677"/>
                <w:tab w:val="right" w:pos="9355"/>
                <w:tab w:val="right" w:pos="961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  <w:p w:rsidR="007F305A" w:rsidRDefault="00A76A7E" w:rsidP="00A76A7E">
            <w:pPr>
              <w:ind w:right="-108"/>
              <w:jc w:val="both"/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</w:pPr>
            <w:r w:rsidRPr="00315DA6"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  <w:t xml:space="preserve"> </w:t>
            </w:r>
          </w:p>
          <w:p w:rsidR="00A76A7E" w:rsidRPr="007F305A" w:rsidRDefault="00A76A7E" w:rsidP="007F305A">
            <w:pPr>
              <w:jc w:val="center"/>
              <w:rPr>
                <w:rFonts w:ascii="Times New Roman" w:eastAsia="Calibri" w:hAnsi="Times New Roman" w:cs="Times New Roman"/>
                <w:sz w:val="14"/>
                <w:highlight w:val="yellow"/>
              </w:rPr>
            </w:pPr>
          </w:p>
        </w:tc>
        <w:tc>
          <w:tcPr>
            <w:tcW w:w="236" w:type="dxa"/>
          </w:tcPr>
          <w:p w:rsidR="00A76A7E" w:rsidRPr="00315DA6" w:rsidRDefault="00A76A7E" w:rsidP="00A76A7E">
            <w:pPr>
              <w:ind w:firstLine="817"/>
              <w:jc w:val="both"/>
              <w:rPr>
                <w:rFonts w:ascii="Calibri" w:eastAsia="Calibri" w:hAnsi="Calibri" w:cs="Times New Roman"/>
                <w:b/>
                <w:sz w:val="14"/>
                <w:highlight w:val="yellow"/>
              </w:rPr>
            </w:pPr>
          </w:p>
        </w:tc>
        <w:tc>
          <w:tcPr>
            <w:tcW w:w="6309" w:type="dxa"/>
          </w:tcPr>
          <w:p w:rsidR="00A76A7E" w:rsidRPr="00315DA6" w:rsidRDefault="00A76A7E" w:rsidP="00A76A7E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15DA6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</w:t>
            </w:r>
            <w:r w:rsidRPr="00315DA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230373" wp14:editId="374812EB">
                  <wp:extent cx="645795" cy="606425"/>
                  <wp:effectExtent l="0" t="0" r="1905" b="3175"/>
                  <wp:docPr id="1" name="Рисунок 1" descr="GerbTOug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TOug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A7E" w:rsidRPr="00315DA6" w:rsidRDefault="00A76A7E" w:rsidP="00A76A7E">
      <w:pPr>
        <w:keepNext/>
        <w:tabs>
          <w:tab w:val="left" w:pos="34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D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ПО ЛИЦЕНЗИРОВАНИЮ ТОМСКОЙ ОБЛАСТИ</w:t>
      </w:r>
    </w:p>
    <w:p w:rsidR="002E264C" w:rsidRPr="00315DA6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Pr="00A76A7E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C314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147C" w:rsidRDefault="007F2108" w:rsidP="00002F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ОБЗОР</w:t>
      </w:r>
      <w:r w:rsidRPr="0054525D">
        <w:rPr>
          <w:rFonts w:ascii="Times New Roman" w:hAnsi="Times New Roman" w:cs="Times New Roman"/>
          <w:b/>
          <w:bCs/>
          <w:sz w:val="28"/>
          <w:szCs w:val="28"/>
        </w:rPr>
        <w:t xml:space="preserve"> ПРАВОПРИМЕНИТЕЛЬНОЙ ПРАКТИК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A76A7E" w:rsidRDefault="007F2108" w:rsidP="00002F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25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СФЕРЕ</w:t>
      </w:r>
      <w:r w:rsidR="00CF18CC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ПО З</w:t>
      </w:r>
      <w:r w:rsidR="00EC05EC">
        <w:rPr>
          <w:rFonts w:ascii="Times New Roman" w:hAnsi="Times New Roman" w:cs="Times New Roman"/>
          <w:b/>
          <w:bCs/>
          <w:sz w:val="28"/>
          <w:szCs w:val="28"/>
        </w:rPr>
        <w:t xml:space="preserve">АГОТОВКЕ, </w:t>
      </w:r>
      <w:r w:rsidR="00E963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05EC">
        <w:rPr>
          <w:rFonts w:ascii="Times New Roman" w:hAnsi="Times New Roman" w:cs="Times New Roman"/>
          <w:b/>
          <w:bCs/>
          <w:sz w:val="28"/>
          <w:szCs w:val="28"/>
        </w:rPr>
        <w:t>ХРАНЕНИЮ</w:t>
      </w:r>
      <w:r w:rsidR="00C3147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963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147C">
        <w:rPr>
          <w:rFonts w:ascii="Times New Roman" w:hAnsi="Times New Roman" w:cs="Times New Roman"/>
          <w:b/>
          <w:bCs/>
          <w:sz w:val="28"/>
          <w:szCs w:val="28"/>
        </w:rPr>
        <w:t>ПЕРЕРАБОТКЕ</w:t>
      </w:r>
      <w:r w:rsidR="00223E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18CC">
        <w:rPr>
          <w:rFonts w:ascii="Times New Roman" w:hAnsi="Times New Roman" w:cs="Times New Roman"/>
          <w:b/>
          <w:bCs/>
          <w:sz w:val="28"/>
          <w:szCs w:val="28"/>
        </w:rPr>
        <w:t>И РЕАЛИЗАЦИИ ЛОМА ЧЕРНЫХ МЕТАЛЛОВ, ЦВЕТНЫХ МЕТАЛЛОВ</w:t>
      </w:r>
      <w:r w:rsidR="007F305A">
        <w:rPr>
          <w:rFonts w:ascii="Times New Roman" w:hAnsi="Times New Roman" w:cs="Times New Roman"/>
          <w:b/>
          <w:bCs/>
          <w:sz w:val="28"/>
          <w:szCs w:val="28"/>
        </w:rPr>
        <w:t xml:space="preserve"> ЗА 2018</w:t>
      </w:r>
      <w:r w:rsidR="00EC05E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02F77" w:rsidRDefault="00002F77" w:rsidP="00002F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77" w:rsidRDefault="00002F77" w:rsidP="00C31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E27" w:rsidRDefault="00223E27" w:rsidP="00002F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Томск</w:t>
      </w:r>
    </w:p>
    <w:p w:rsidR="007F2108" w:rsidRDefault="00223E27" w:rsidP="00223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F305A">
        <w:rPr>
          <w:rFonts w:ascii="Times New Roman" w:hAnsi="Times New Roman" w:cs="Times New Roman"/>
          <w:b/>
          <w:bCs/>
          <w:sz w:val="32"/>
          <w:szCs w:val="32"/>
        </w:rPr>
        <w:t>2019</w:t>
      </w:r>
      <w:r w:rsidR="00002F77" w:rsidRPr="00002F7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F210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2108" w:rsidRPr="001B2410" w:rsidRDefault="007F2108" w:rsidP="00002F77">
      <w:pPr>
        <w:tabs>
          <w:tab w:val="left" w:pos="8364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</w:t>
      </w:r>
      <w:r w:rsidR="007E2469" w:rsidRPr="001B2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главление</w:t>
      </w:r>
    </w:p>
    <w:p w:rsidR="007F2108" w:rsidRPr="001B2410" w:rsidRDefault="007F2108" w:rsidP="007F210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1B2410" w:rsidRDefault="007F2108" w:rsidP="00994709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64F1F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02F7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9B2EE3" w:rsidRPr="001B2410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1B2410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02F7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1F5276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F18CC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- 4</w:t>
      </w:r>
    </w:p>
    <w:p w:rsidR="009B2EE3" w:rsidRPr="001B2410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1B2410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деятельность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02F7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F18CC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B2410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9B2EE3" w:rsidRPr="001B2410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2410" w:rsidRPr="001B2410" w:rsidRDefault="00CF18CC" w:rsidP="001B2410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2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Меры, которые следует предпринять  </w:t>
      </w:r>
      <w:proofErr w:type="gramStart"/>
      <w:r w:rsidR="001B2410" w:rsidRPr="001B2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юридическим</w:t>
      </w:r>
      <w:proofErr w:type="gramEnd"/>
    </w:p>
    <w:p w:rsidR="001B2410" w:rsidRPr="001B2410" w:rsidRDefault="001B2410" w:rsidP="001B2410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2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 и индивидуальным предпринимателям в целях</w:t>
      </w:r>
    </w:p>
    <w:p w:rsidR="00CF18CC" w:rsidRPr="001B2410" w:rsidRDefault="001B2410" w:rsidP="001B2410">
      <w:pPr>
        <w:pStyle w:val="ab"/>
        <w:tabs>
          <w:tab w:val="left" w:pos="838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2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недопущения нарушений лицензионных требований</w:t>
      </w:r>
      <w:r w:rsidRPr="001B24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8</w:t>
      </w:r>
    </w:p>
    <w:p w:rsidR="00CF18CC" w:rsidRPr="001B2410" w:rsidRDefault="00CF18CC" w:rsidP="00CF18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B2EE3" w:rsidRPr="001B2410" w:rsidRDefault="00EC05EC" w:rsidP="00EC05E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CF18CC" w:rsidRPr="001B24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CF18CC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</w:t>
      </w:r>
      <w:r w:rsidR="001F5276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Профилактика нарушений законодательства в сфере</w:t>
      </w:r>
      <w:r w:rsidR="00002F7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1B2410" w:rsidRPr="001B2410" w:rsidRDefault="001B2410" w:rsidP="00EC05EC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заготовки, хранения, переработки</w:t>
      </w:r>
      <w:r w:rsidR="00CF18CC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реализации лома</w:t>
      </w:r>
    </w:p>
    <w:p w:rsidR="007F2108" w:rsidRPr="001B2410" w:rsidRDefault="00CF18CC" w:rsidP="001B2410">
      <w:pPr>
        <w:pStyle w:val="ab"/>
        <w:tabs>
          <w:tab w:val="left" w:pos="709"/>
          <w:tab w:val="left" w:pos="851"/>
          <w:tab w:val="left" w:pos="840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>черных металлов, цветных металлов</w:t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7F2108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3386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A2187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1B2410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F5276" w:rsidRPr="001B2410" w:rsidRDefault="001F5276" w:rsidP="00EC05E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18CC" w:rsidRPr="001B2410" w:rsidRDefault="00994709" w:rsidP="00002F77">
      <w:pPr>
        <w:tabs>
          <w:tab w:val="left" w:pos="8222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9B2EE3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F5276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F18CC" w:rsidRPr="001B24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Выводы и предложения                                                                       </w:t>
      </w:r>
    </w:p>
    <w:p w:rsidR="00CF18CC" w:rsidRPr="001B2410" w:rsidRDefault="00EC05EC" w:rsidP="001B2410">
      <w:pPr>
        <w:tabs>
          <w:tab w:val="left" w:pos="8222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результатам лицензионного</w:t>
      </w:r>
      <w:r w:rsidR="00CF18CC" w:rsidRPr="001B24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контроля (надзора).</w:t>
      </w:r>
      <w:r w:rsidR="001B2410" w:rsidRPr="001B24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 xml:space="preserve">   10</w:t>
      </w:r>
    </w:p>
    <w:p w:rsidR="00CF18CC" w:rsidRPr="001B2410" w:rsidRDefault="00CF18CC" w:rsidP="00CF18CC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F18CC" w:rsidRPr="001B2410" w:rsidRDefault="00CF18CC" w:rsidP="00CF18C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1B2410" w:rsidRDefault="004A2187" w:rsidP="00CD4BB2">
      <w:pPr>
        <w:pStyle w:val="ab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5276" w:rsidRPr="001B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</w:p>
    <w:p w:rsidR="00CD4BB2" w:rsidRPr="001A0C96" w:rsidRDefault="00CD4BB2" w:rsidP="00CD4BB2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F18CC" w:rsidRPr="001A0C96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18CC" w:rsidRPr="001A0C96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18CC" w:rsidRPr="001A0C96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172EC6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18CC" w:rsidRDefault="00CF18CC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108" w:rsidRDefault="007F2108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AC4">
        <w:rPr>
          <w:rFonts w:ascii="Times New Roman" w:hAnsi="Times New Roman" w:cs="Times New Roman"/>
          <w:b/>
          <w:sz w:val="28"/>
          <w:szCs w:val="28"/>
        </w:rPr>
        <w:t>В</w:t>
      </w:r>
      <w:r w:rsidR="007E2469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3E5605" w:rsidRDefault="003E5605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108" w:rsidRPr="00D47E41" w:rsidRDefault="007F2108" w:rsidP="00B50B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7E41">
        <w:rPr>
          <w:rFonts w:ascii="Times New Roman" w:hAnsi="Times New Roman" w:cs="Times New Roman"/>
          <w:sz w:val="28"/>
          <w:szCs w:val="28"/>
        </w:rPr>
        <w:t xml:space="preserve">Настоящий обзор правоприменительной практики </w:t>
      </w:r>
      <w:r w:rsidR="00ED5AEF">
        <w:rPr>
          <w:rFonts w:ascii="Times New Roman" w:hAnsi="Times New Roman" w:cs="Times New Roman"/>
          <w:sz w:val="28"/>
          <w:szCs w:val="28"/>
        </w:rPr>
        <w:t xml:space="preserve">Комитета по лицензированию </w:t>
      </w:r>
      <w:r w:rsidR="00DD78BA">
        <w:rPr>
          <w:rFonts w:ascii="Times New Roman" w:hAnsi="Times New Roman" w:cs="Times New Roman"/>
          <w:sz w:val="28"/>
          <w:szCs w:val="28"/>
        </w:rPr>
        <w:t>Томской области</w:t>
      </w:r>
      <w:r w:rsidR="009A4E85">
        <w:rPr>
          <w:rFonts w:ascii="Times New Roman" w:hAnsi="Times New Roman" w:cs="Times New Roman"/>
          <w:sz w:val="28"/>
          <w:szCs w:val="28"/>
        </w:rPr>
        <w:t xml:space="preserve"> </w:t>
      </w:r>
      <w:r w:rsidR="009A4E85" w:rsidRPr="00D47E41">
        <w:rPr>
          <w:rFonts w:ascii="Times New Roman" w:hAnsi="Times New Roman" w:cs="Times New Roman"/>
          <w:sz w:val="28"/>
          <w:szCs w:val="28"/>
        </w:rPr>
        <w:t>(далее – Комитет по лицензированию)</w:t>
      </w:r>
      <w:r w:rsidR="00DD78BA">
        <w:rPr>
          <w:rFonts w:ascii="Times New Roman" w:hAnsi="Times New Roman" w:cs="Times New Roman"/>
          <w:sz w:val="28"/>
          <w:szCs w:val="28"/>
        </w:rPr>
        <w:t xml:space="preserve"> в сфере деятельности по заготовке, хранению, переработке и реализации лома черных металлов, цветных металлов </w:t>
      </w:r>
      <w:r w:rsidRPr="00D47E41">
        <w:rPr>
          <w:rFonts w:ascii="Times New Roman" w:hAnsi="Times New Roman" w:cs="Times New Roman"/>
          <w:sz w:val="28"/>
          <w:szCs w:val="28"/>
        </w:rPr>
        <w:t>подготовлен во исполнение пункта 3 части 2 статьи 8</w:t>
      </w:r>
      <w:r w:rsidR="00ED5AEF">
        <w:rPr>
          <w:rFonts w:ascii="Times New Roman" w:hAnsi="Times New Roman" w:cs="Times New Roman"/>
          <w:sz w:val="28"/>
          <w:szCs w:val="28"/>
        </w:rPr>
        <w:t xml:space="preserve">.2 Федерального закона от 26 декабря </w:t>
      </w:r>
      <w:r w:rsidRPr="00D47E41">
        <w:rPr>
          <w:rFonts w:ascii="Times New Roman" w:hAnsi="Times New Roman" w:cs="Times New Roman"/>
          <w:sz w:val="28"/>
          <w:szCs w:val="28"/>
        </w:rPr>
        <w:t>2008</w:t>
      </w:r>
      <w:r w:rsidR="00ED5AE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47E41">
        <w:rPr>
          <w:rFonts w:ascii="Times New Roman" w:hAnsi="Times New Roman" w:cs="Times New Roman"/>
          <w:sz w:val="28"/>
          <w:szCs w:val="28"/>
        </w:rPr>
        <w:t xml:space="preserve">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Pr="00D47E41">
        <w:rPr>
          <w:rFonts w:ascii="Times New Roman" w:hAnsi="Times New Roman" w:cs="Times New Roman"/>
          <w:sz w:val="28"/>
          <w:szCs w:val="28"/>
        </w:rPr>
        <w:t>" (далее – Федеральный закон № 294-ФЗ).</w:t>
      </w:r>
    </w:p>
    <w:p w:rsidR="007F2108" w:rsidRDefault="007F2108" w:rsidP="00B50B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E41">
        <w:rPr>
          <w:rFonts w:ascii="Times New Roman" w:hAnsi="Times New Roman" w:cs="Times New Roman"/>
          <w:sz w:val="28"/>
          <w:szCs w:val="28"/>
        </w:rPr>
        <w:t>Обзор правоприменительной практики подгото</w:t>
      </w:r>
      <w:r w:rsidR="007F305A">
        <w:rPr>
          <w:rFonts w:ascii="Times New Roman" w:hAnsi="Times New Roman" w:cs="Times New Roman"/>
          <w:sz w:val="28"/>
          <w:szCs w:val="28"/>
        </w:rPr>
        <w:t>влен за период с 01.01.2018</w:t>
      </w:r>
      <w:r w:rsidR="00737B41">
        <w:rPr>
          <w:rFonts w:ascii="Times New Roman" w:hAnsi="Times New Roman" w:cs="Times New Roman"/>
          <w:sz w:val="28"/>
          <w:szCs w:val="28"/>
        </w:rPr>
        <w:t xml:space="preserve"> по 3</w:t>
      </w:r>
      <w:r w:rsidRPr="00D47E41">
        <w:rPr>
          <w:rFonts w:ascii="Times New Roman" w:hAnsi="Times New Roman" w:cs="Times New Roman"/>
          <w:sz w:val="28"/>
          <w:szCs w:val="28"/>
        </w:rPr>
        <w:t>1.</w:t>
      </w:r>
      <w:r w:rsidR="007F305A">
        <w:rPr>
          <w:rFonts w:ascii="Times New Roman" w:hAnsi="Times New Roman" w:cs="Times New Roman"/>
          <w:sz w:val="28"/>
          <w:szCs w:val="28"/>
        </w:rPr>
        <w:t>12.2018</w:t>
      </w:r>
      <w:r w:rsidRPr="00116D7B">
        <w:rPr>
          <w:rFonts w:ascii="Times New Roman" w:hAnsi="Times New Roman" w:cs="Times New Roman"/>
          <w:sz w:val="28"/>
          <w:szCs w:val="28"/>
        </w:rPr>
        <w:t xml:space="preserve"> </w:t>
      </w:r>
      <w:r w:rsidRPr="00D47E41">
        <w:rPr>
          <w:rFonts w:ascii="Times New Roman" w:hAnsi="Times New Roman" w:cs="Times New Roman"/>
          <w:sz w:val="28"/>
          <w:szCs w:val="28"/>
        </w:rPr>
        <w:t>года по результатам контрольной деятельности</w:t>
      </w:r>
      <w:r w:rsidR="001A0C96">
        <w:rPr>
          <w:rFonts w:ascii="Times New Roman" w:hAnsi="Times New Roman" w:cs="Times New Roman"/>
          <w:sz w:val="28"/>
          <w:szCs w:val="28"/>
        </w:rPr>
        <w:t xml:space="preserve"> Комитета по лицензированию</w:t>
      </w:r>
      <w:r w:rsidRPr="00D47E41">
        <w:rPr>
          <w:rFonts w:ascii="Times New Roman" w:hAnsi="Times New Roman" w:cs="Times New Roman"/>
          <w:sz w:val="28"/>
          <w:szCs w:val="28"/>
        </w:rPr>
        <w:t xml:space="preserve"> в </w:t>
      </w:r>
      <w:r w:rsidR="00DD78BA">
        <w:rPr>
          <w:rFonts w:ascii="Times New Roman" w:hAnsi="Times New Roman" w:cs="Times New Roman"/>
          <w:sz w:val="28"/>
          <w:szCs w:val="28"/>
        </w:rPr>
        <w:t>сфере заготовки, хранения, переработки и реализации лома черных металлов, цветных металлов.</w:t>
      </w:r>
    </w:p>
    <w:p w:rsidR="00DD78BA" w:rsidRPr="00DD78BA" w:rsidRDefault="00DD78BA" w:rsidP="00B50B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данном документе  изложены вопросы организации и проведения проверок юридических лиц и индивидуальных предпринимателей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осуществляющих</w:t>
      </w:r>
      <w:r w:rsidR="007E6D47" w:rsidRPr="007E6D47">
        <w:rPr>
          <w:rFonts w:ascii="Times New Roman" w:hAnsi="Times New Roman" w:cs="Times New Roman"/>
          <w:sz w:val="28"/>
          <w:szCs w:val="28"/>
        </w:rPr>
        <w:t xml:space="preserve"> </w:t>
      </w:r>
      <w:r w:rsidR="007E6D47">
        <w:rPr>
          <w:rFonts w:ascii="Times New Roman" w:hAnsi="Times New Roman" w:cs="Times New Roman"/>
          <w:sz w:val="28"/>
          <w:szCs w:val="28"/>
        </w:rPr>
        <w:t>деятельность по заготовке, хранению, переработке и реализации лома черных металлов, цветных металлов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вопросы соблюдения 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установленных 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осуществлении </w:t>
      </w:r>
      <w:r w:rsidR="007E6D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данного вида 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деятельности 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меры, принимаемые Комитетом </w:t>
      </w:r>
      <w:r w:rsidR="009A4E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лицензированию</w:t>
      </w:r>
      <w:r w:rsidR="002557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целях профилактики и пресечения 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нарушений </w:t>
      </w:r>
      <w:r w:rsidR="001A0C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указанных 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обязательных требований</w:t>
      </w:r>
      <w:r w:rsidR="007E6D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(далее – лицензионные требования)</w:t>
      </w:r>
      <w:r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F2108" w:rsidRPr="00476182" w:rsidRDefault="007F2108" w:rsidP="00B50B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2108" w:rsidRDefault="003A7760" w:rsidP="003A776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8693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869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2108" w:rsidRPr="003A7760">
        <w:rPr>
          <w:rFonts w:ascii="Times New Roman" w:hAnsi="Times New Roman" w:cs="Times New Roman"/>
          <w:b/>
          <w:sz w:val="28"/>
          <w:szCs w:val="28"/>
        </w:rPr>
        <w:t>О</w:t>
      </w:r>
      <w:r w:rsidR="007E2469" w:rsidRPr="003A7760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800532" w:rsidRDefault="007F2108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7E41">
        <w:rPr>
          <w:rFonts w:ascii="Times New Roman" w:hAnsi="Times New Roman" w:cs="Times New Roman"/>
          <w:sz w:val="28"/>
          <w:szCs w:val="28"/>
        </w:rPr>
        <w:t>Комитет по лицензированию в соответствии с Положением о Комитете по лицензированию,  утвержденным постановлением Губернатора Томской области  от 21.11.2012 № 165, является исполнительным органом государственной власти Томской области, входящим в систему исполнительных органов государ</w:t>
      </w:r>
      <w:r w:rsidR="00A902CF">
        <w:rPr>
          <w:rFonts w:ascii="Times New Roman" w:hAnsi="Times New Roman" w:cs="Times New Roman"/>
          <w:sz w:val="28"/>
          <w:szCs w:val="28"/>
        </w:rPr>
        <w:t>ственной власти Томской области</w:t>
      </w:r>
      <w:r w:rsidR="00C5403B">
        <w:rPr>
          <w:rFonts w:ascii="Times New Roman" w:hAnsi="Times New Roman" w:cs="Times New Roman"/>
          <w:sz w:val="28"/>
          <w:szCs w:val="28"/>
        </w:rPr>
        <w:t xml:space="preserve">, </w:t>
      </w:r>
      <w:r w:rsidR="00DD78BA">
        <w:rPr>
          <w:rFonts w:ascii="Times New Roman" w:hAnsi="Times New Roman" w:cs="Times New Roman"/>
          <w:sz w:val="28"/>
          <w:szCs w:val="28"/>
        </w:rPr>
        <w:t xml:space="preserve">осуществляющим лицензионный </w:t>
      </w:r>
      <w:r w:rsidR="00D15965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7E6D47">
        <w:rPr>
          <w:rFonts w:ascii="Times New Roman" w:hAnsi="Times New Roman" w:cs="Times New Roman"/>
          <w:sz w:val="28"/>
          <w:szCs w:val="28"/>
        </w:rPr>
        <w:t xml:space="preserve"> </w:t>
      </w:r>
      <w:r w:rsidR="00800532">
        <w:rPr>
          <w:rFonts w:ascii="Times New Roman" w:hAnsi="Times New Roman" w:cs="Times New Roman"/>
          <w:sz w:val="28"/>
          <w:szCs w:val="28"/>
        </w:rPr>
        <w:t>заготовки, хранения, переработки и реализации лома черных металлов, цветных металлов (далее – лицензионный контроль).</w:t>
      </w:r>
      <w:r w:rsidR="0080053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</w:p>
    <w:p w:rsidR="00A44724" w:rsidRPr="00F57052" w:rsidRDefault="00A44724" w:rsidP="00B50B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Полномочия по лицензионн</w:t>
      </w:r>
      <w:r w:rsidR="00C840EA">
        <w:rPr>
          <w:rFonts w:ascii="Times New Roman" w:eastAsia="Calibri" w:hAnsi="Times New Roman" w:cs="Times New Roman"/>
          <w:sz w:val="28"/>
          <w:szCs w:val="28"/>
        </w:rPr>
        <w:t xml:space="preserve">ому </w:t>
      </w:r>
      <w:r>
        <w:rPr>
          <w:rFonts w:ascii="Times New Roman" w:eastAsia="Calibri" w:hAnsi="Times New Roman" w:cs="Times New Roman"/>
          <w:sz w:val="28"/>
          <w:szCs w:val="28"/>
        </w:rPr>
        <w:t>контрол</w:t>
      </w:r>
      <w:r w:rsidR="00C840EA">
        <w:rPr>
          <w:rFonts w:ascii="Times New Roman" w:eastAsia="Calibri" w:hAnsi="Times New Roman" w:cs="Times New Roman"/>
          <w:sz w:val="28"/>
          <w:szCs w:val="28"/>
        </w:rPr>
        <w:t>ю</w:t>
      </w:r>
      <w:r w:rsidR="007F305A">
        <w:rPr>
          <w:rFonts w:ascii="Times New Roman" w:eastAsia="Calibri" w:hAnsi="Times New Roman" w:cs="Times New Roman"/>
          <w:sz w:val="28"/>
          <w:szCs w:val="28"/>
        </w:rPr>
        <w:t xml:space="preserve"> возложены на </w:t>
      </w:r>
      <w:r w:rsidRPr="00F57052">
        <w:rPr>
          <w:rFonts w:ascii="Times New Roman" w:eastAsia="Calibri" w:hAnsi="Times New Roman" w:cs="Times New Roman"/>
          <w:sz w:val="28"/>
          <w:szCs w:val="28"/>
        </w:rPr>
        <w:t>отдел лицензи</w:t>
      </w:r>
      <w:r w:rsidR="007F305A">
        <w:rPr>
          <w:rFonts w:ascii="Times New Roman" w:eastAsia="Calibri" w:hAnsi="Times New Roman" w:cs="Times New Roman"/>
          <w:sz w:val="28"/>
          <w:szCs w:val="28"/>
        </w:rPr>
        <w:t xml:space="preserve">онно-разрешительной </w:t>
      </w:r>
      <w:r w:rsidRPr="00F57052">
        <w:rPr>
          <w:rFonts w:ascii="Times New Roman" w:eastAsia="Calibri" w:hAnsi="Times New Roman" w:cs="Times New Roman"/>
          <w:sz w:val="28"/>
          <w:szCs w:val="28"/>
        </w:rPr>
        <w:t>деятельности Комитета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лицензированию.</w:t>
      </w:r>
    </w:p>
    <w:p w:rsidR="00A44724" w:rsidRDefault="00A44724" w:rsidP="00B50B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Штатная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должностных лиц </w:t>
      </w:r>
      <w:r w:rsidRPr="00F57052">
        <w:rPr>
          <w:rFonts w:ascii="Times New Roman" w:eastAsia="Calibri" w:hAnsi="Times New Roman" w:cs="Times New Roman"/>
          <w:sz w:val="28"/>
          <w:szCs w:val="28"/>
        </w:rPr>
        <w:t>отдела  лицензирования отдельных видов деятельности</w:t>
      </w:r>
      <w:r w:rsidR="00CA6EF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EFB">
        <w:rPr>
          <w:rFonts w:ascii="Times New Roman" w:eastAsia="Calibri" w:hAnsi="Times New Roman" w:cs="Times New Roman"/>
          <w:sz w:val="28"/>
          <w:szCs w:val="28"/>
        </w:rPr>
        <w:t xml:space="preserve">осуществляющих полномочия по лицензионному контролю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F305A">
        <w:rPr>
          <w:rFonts w:ascii="Times New Roman" w:eastAsia="Calibri" w:hAnsi="Times New Roman" w:cs="Times New Roman"/>
          <w:sz w:val="28"/>
          <w:szCs w:val="28"/>
        </w:rPr>
        <w:t>2 человека</w:t>
      </w: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50BA4" w:rsidRDefault="00C840EA" w:rsidP="00B50B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 исполнения полномочий по лицензионному контролю Комитет по лицензированию осуществляет: </w:t>
      </w:r>
    </w:p>
    <w:p w:rsidR="00B50BA4" w:rsidRDefault="00C840EA" w:rsidP="00B50B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проверки достоверности сведений, представленных соискателем лицензии или лицензиатом</w:t>
      </w:r>
      <w:r w:rsidR="00796B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проверки состояния помещений, зданий, сооружений, технических средств, оборудования, иных объектов, которые предполагается использовать соискателем лицензии или лицензиатом при осуществлении</w:t>
      </w:r>
      <w:r w:rsidRPr="00C84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заготовки, хранения, переработки и реализации лома черных металлов, цветных металлов,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наличия необходимых для осуществления </w:t>
      </w:r>
      <w:r w:rsidR="00B50BA4">
        <w:rPr>
          <w:rFonts w:ascii="Times New Roman" w:hAnsi="Times New Roman" w:cs="Times New Roman"/>
          <w:sz w:val="28"/>
          <w:szCs w:val="28"/>
        </w:rPr>
        <w:t xml:space="preserve">данного вида деятельности </w:t>
      </w:r>
      <w:r>
        <w:rPr>
          <w:rFonts w:ascii="Times New Roman" w:hAnsi="Times New Roman" w:cs="Times New Roman"/>
          <w:sz w:val="28"/>
          <w:szCs w:val="28"/>
        </w:rPr>
        <w:t>работников в целях оценки соответствия таких объектов и работников лицензионным требованиям</w:t>
      </w:r>
      <w:r w:rsidR="00796BAD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796BAD">
        <w:rPr>
          <w:rFonts w:ascii="Times New Roman" w:hAnsi="Times New Roman" w:cs="Times New Roman"/>
          <w:sz w:val="28"/>
          <w:szCs w:val="28"/>
        </w:rPr>
        <w:t>предлицензионные</w:t>
      </w:r>
      <w:proofErr w:type="spellEnd"/>
      <w:r w:rsidR="00796BAD">
        <w:rPr>
          <w:rFonts w:ascii="Times New Roman" w:hAnsi="Times New Roman" w:cs="Times New Roman"/>
          <w:sz w:val="28"/>
          <w:szCs w:val="28"/>
        </w:rPr>
        <w:t xml:space="preserve"> проверки)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840EA" w:rsidRDefault="00C840EA" w:rsidP="00B50B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B50BA4">
        <w:rPr>
          <w:rFonts w:ascii="Times New Roman" w:hAnsi="Times New Roman" w:cs="Times New Roman"/>
          <w:sz w:val="28"/>
          <w:szCs w:val="28"/>
        </w:rPr>
        <w:t>достоверности сведений, содержащиеся в документах лицензиата о его  деятельности, состоянии используемых при осуществлении заготовки, хранения, переработки и реализации лома черных металлов, цветных металлов помещений, зданий, сооружений, технических средств, оборудования, иных объектов,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 работников лицензиата лицен</w:t>
      </w:r>
      <w:r w:rsidR="00B50BA4">
        <w:rPr>
          <w:rFonts w:ascii="Times New Roman" w:hAnsi="Times New Roman" w:cs="Times New Roman"/>
          <w:sz w:val="28"/>
          <w:szCs w:val="28"/>
        </w:rPr>
        <w:t>зионным требованиям, выполняемых работ, оказываемых услуг, принимаемых лицензиатом мер</w:t>
      </w:r>
      <w:r>
        <w:rPr>
          <w:rFonts w:ascii="Times New Roman" w:hAnsi="Times New Roman" w:cs="Times New Roman"/>
          <w:sz w:val="28"/>
          <w:szCs w:val="28"/>
        </w:rPr>
        <w:t xml:space="preserve"> по соблюдению лицензионных требований, исполнению предписаний об устранении выявленных нарушений лицензионных требований.</w:t>
      </w:r>
      <w:proofErr w:type="gramEnd"/>
    </w:p>
    <w:p w:rsidR="00D15965" w:rsidRPr="00373EB2" w:rsidRDefault="00A902CF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3EB2">
        <w:rPr>
          <w:rFonts w:ascii="Times New Roman" w:hAnsi="Times New Roman" w:cs="Times New Roman"/>
          <w:sz w:val="28"/>
          <w:szCs w:val="28"/>
        </w:rPr>
        <w:t xml:space="preserve">Комитет по лицензированию </w:t>
      </w:r>
      <w:r w:rsidR="00C3147C" w:rsidRPr="00373EB2">
        <w:rPr>
          <w:rFonts w:ascii="Times New Roman" w:hAnsi="Times New Roman" w:cs="Times New Roman"/>
          <w:sz w:val="28"/>
          <w:szCs w:val="28"/>
        </w:rPr>
        <w:t xml:space="preserve">обеспечивает в пределах имеющихся полномочий составление должностными лицами органа </w:t>
      </w:r>
      <w:r w:rsidR="00C3147C">
        <w:rPr>
          <w:rFonts w:ascii="Times New Roman" w:hAnsi="Times New Roman" w:cs="Times New Roman"/>
          <w:sz w:val="28"/>
          <w:szCs w:val="28"/>
        </w:rPr>
        <w:t xml:space="preserve">протоколов  </w:t>
      </w:r>
      <w:r w:rsidR="00D15965" w:rsidRPr="00373EB2">
        <w:rPr>
          <w:rFonts w:ascii="Times New Roman" w:hAnsi="Times New Roman" w:cs="Times New Roman"/>
          <w:sz w:val="28"/>
          <w:szCs w:val="28"/>
        </w:rPr>
        <w:t>об административных правонарушениях в соответствии</w:t>
      </w:r>
      <w:r w:rsidR="00373EB2" w:rsidRPr="00373EB2">
        <w:rPr>
          <w:rFonts w:ascii="Times New Roman" w:hAnsi="Times New Roman" w:cs="Times New Roman"/>
          <w:sz w:val="28"/>
          <w:szCs w:val="28"/>
        </w:rPr>
        <w:t xml:space="preserve"> с ч.2,3,4</w:t>
      </w:r>
      <w:r w:rsidR="00D15965" w:rsidRPr="00373EB2">
        <w:rPr>
          <w:rFonts w:ascii="Times New Roman" w:hAnsi="Times New Roman" w:cs="Times New Roman"/>
          <w:sz w:val="28"/>
          <w:szCs w:val="28"/>
        </w:rPr>
        <w:t xml:space="preserve"> </w:t>
      </w:r>
      <w:r w:rsidR="00373EB2" w:rsidRPr="00373EB2">
        <w:rPr>
          <w:rFonts w:ascii="Times New Roman" w:hAnsi="Times New Roman" w:cs="Times New Roman"/>
          <w:sz w:val="28"/>
          <w:szCs w:val="28"/>
        </w:rPr>
        <w:t xml:space="preserve">статьи 14.1 и статьи 19.20 </w:t>
      </w:r>
      <w:r w:rsidR="00D15965" w:rsidRPr="00373EB2">
        <w:rPr>
          <w:rFonts w:ascii="Times New Roman" w:hAnsi="Times New Roman" w:cs="Times New Roman"/>
          <w:sz w:val="28"/>
          <w:szCs w:val="28"/>
        </w:rPr>
        <w:t>Кодекса Российской Федерации об а</w:t>
      </w:r>
      <w:r w:rsidRPr="00373EB2">
        <w:rPr>
          <w:rFonts w:ascii="Times New Roman" w:hAnsi="Times New Roman" w:cs="Times New Roman"/>
          <w:sz w:val="28"/>
          <w:szCs w:val="28"/>
        </w:rPr>
        <w:t>дминистративных правонарушениях (дал</w:t>
      </w:r>
      <w:r w:rsidR="00C3147C">
        <w:rPr>
          <w:rFonts w:ascii="Times New Roman" w:hAnsi="Times New Roman" w:cs="Times New Roman"/>
          <w:sz w:val="28"/>
          <w:szCs w:val="28"/>
        </w:rPr>
        <w:t>ее – КоАП РФ)</w:t>
      </w:r>
      <w:r w:rsidR="00D15965" w:rsidRPr="00373EB2">
        <w:rPr>
          <w:rFonts w:ascii="Times New Roman" w:hAnsi="Times New Roman" w:cs="Times New Roman"/>
          <w:sz w:val="28"/>
          <w:szCs w:val="28"/>
        </w:rPr>
        <w:t xml:space="preserve"> и ведение производства по делам об административных правонарушениях в соответствии с </w:t>
      </w:r>
      <w:r w:rsidR="00C5403B" w:rsidRPr="00373EB2">
        <w:rPr>
          <w:rFonts w:ascii="Times New Roman" w:hAnsi="Times New Roman" w:cs="Times New Roman"/>
          <w:sz w:val="28"/>
          <w:szCs w:val="28"/>
        </w:rPr>
        <w:t>КоАП РФ</w:t>
      </w:r>
      <w:r w:rsidRPr="00373EB2">
        <w:rPr>
          <w:rFonts w:ascii="Times New Roman" w:hAnsi="Times New Roman" w:cs="Times New Roman"/>
          <w:sz w:val="28"/>
          <w:szCs w:val="28"/>
        </w:rPr>
        <w:t>.</w:t>
      </w:r>
    </w:p>
    <w:p w:rsidR="00800532" w:rsidRPr="00D47E41" w:rsidRDefault="00B26824" w:rsidP="008005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При осуществлении  </w:t>
      </w:r>
      <w:r w:rsidR="0080053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лицензионного контроля </w:t>
      </w:r>
      <w:r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Комитет по лицензированию </w:t>
      </w:r>
      <w:r w:rsidR="00800532">
        <w:rPr>
          <w:rFonts w:ascii="Times New Roman" w:hAnsi="Times New Roman" w:cs="Times New Roman"/>
          <w:sz w:val="28"/>
          <w:szCs w:val="28"/>
        </w:rPr>
        <w:t xml:space="preserve">руководствуется </w:t>
      </w:r>
      <w:r w:rsidR="00800532" w:rsidRPr="00D47E41">
        <w:rPr>
          <w:rFonts w:ascii="Times New Roman" w:hAnsi="Times New Roman" w:cs="Times New Roman"/>
          <w:sz w:val="28"/>
          <w:szCs w:val="28"/>
        </w:rPr>
        <w:t>следующими нормативными правовыми актами:</w:t>
      </w:r>
    </w:p>
    <w:p w:rsidR="00B26824" w:rsidRPr="00B26824" w:rsidRDefault="00800532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Федеральным законом</w:t>
      </w:r>
      <w:r w:rsidR="00B26824"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от 4 мая 2011</w:t>
      </w:r>
      <w:r w:rsid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года </w:t>
      </w:r>
      <w:r w:rsidR="00B26824"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№ 99-ФЗ «О лицензировании  отдельных видов деятельности»; </w:t>
      </w:r>
    </w:p>
    <w:p w:rsidR="00800532" w:rsidRDefault="00800532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Федеральным   законом</w:t>
      </w:r>
      <w:r w:rsidR="00B26824"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от  26 </w:t>
      </w:r>
      <w:r w:rsid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декабря  2008</w:t>
      </w:r>
      <w:r w:rsidR="009A4E8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года </w:t>
      </w:r>
      <w:r w:rsidR="00B26824" w:rsidRPr="00B2682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№ 294-ФЗ  «О  защите  прав юридических  лиц  и индивидуальных  предпринимателей при осуществлении  государственного контроля  (надзора)  и муниципального контроля»;</w:t>
      </w:r>
    </w:p>
    <w:p w:rsidR="00800532" w:rsidRDefault="00800532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</w:t>
      </w:r>
      <w:r w:rsidRPr="00B26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дерации от 12.12.2012            </w:t>
      </w:r>
      <w:r w:rsidRPr="00B26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1287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лицензировании деятельности по заготовке, хранению, переработке и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лома черных и цветных металлов» (вместе с «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 о лицензировании деятельности по заготовке, хранению, переработке и реализации лома черных металлов, цветных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таллов»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0532" w:rsidRDefault="00800532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11.05.2001 N 369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Правил обращения с ломом и отходами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черных металлов и их отчуждения» </w:t>
      </w:r>
    </w:p>
    <w:p w:rsidR="00800532" w:rsidRDefault="00800532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11.05.2001 N 370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00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обращения с ломом и отходами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ветных металлов и их отчуждения»</w:t>
      </w:r>
      <w:r w:rsidRPr="00B26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6BAD" w:rsidRDefault="00EF405D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history="1">
        <w:r w:rsidR="008005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  <w:r w:rsidR="00C83F1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B26824" w:rsidRPr="00B2682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Главы Администрации (Губернатора) Томской области от 11</w:t>
        </w:r>
        <w:r w:rsidR="008005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.10.2001</w:t>
        </w:r>
        <w:r w:rsidR="00B2682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B26824" w:rsidRPr="00B2682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№ 351 «Об обращении лома цветных и черных металлов на территории Томской области</w:t>
        </w:r>
      </w:hyperlink>
      <w:r w:rsidR="00800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83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90184" w:rsidRDefault="00EF405D" w:rsidP="00796B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8005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  <w:r w:rsidR="00C83F13" w:rsidRPr="00C83F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Комитета по лицензированию Томской области от 30.05.2017 №1244 "Об утверждении Административного регламента по осуществлению лицензионного контроля заготовки, хранения, </w:t>
        </w:r>
        <w:r w:rsidR="00C83F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переработки и реализации лома черных металлов, цветных металлов</w:t>
        </w:r>
        <w:r w:rsidR="00C83F13" w:rsidRPr="00C83F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</w:t>
        </w:r>
      </w:hyperlink>
      <w:r w:rsid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184" w:rsidRDefault="007F2108" w:rsidP="00796B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75C8">
        <w:rPr>
          <w:rFonts w:ascii="Times New Roman" w:hAnsi="Times New Roman" w:cs="Times New Roman"/>
          <w:sz w:val="28"/>
          <w:szCs w:val="28"/>
        </w:rPr>
        <w:lastRenderedPageBreak/>
        <w:t>С правовой базой, регулирующей д</w:t>
      </w:r>
      <w:r w:rsidR="00C83F13">
        <w:rPr>
          <w:rFonts w:ascii="Times New Roman" w:hAnsi="Times New Roman" w:cs="Times New Roman"/>
          <w:sz w:val="28"/>
          <w:szCs w:val="28"/>
        </w:rPr>
        <w:t xml:space="preserve">анную сферу деятельности, можно </w:t>
      </w:r>
      <w:r w:rsidRPr="001375C8">
        <w:rPr>
          <w:rFonts w:ascii="Times New Roman" w:hAnsi="Times New Roman" w:cs="Times New Roman"/>
          <w:sz w:val="28"/>
          <w:szCs w:val="28"/>
        </w:rPr>
        <w:t>ознакомиться на официальном с</w:t>
      </w:r>
      <w:r w:rsidR="009A4E85">
        <w:rPr>
          <w:rFonts w:ascii="Times New Roman" w:hAnsi="Times New Roman" w:cs="Times New Roman"/>
          <w:sz w:val="28"/>
          <w:szCs w:val="28"/>
        </w:rPr>
        <w:t xml:space="preserve">айте Комитета по лицензированию </w:t>
      </w:r>
      <w:hyperlink r:id="rId12" w:history="1"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kl</w:t>
        </w:r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tomsk</w:t>
        </w:r>
        <w:proofErr w:type="spellEnd"/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D5BA8"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375C8">
        <w:rPr>
          <w:rFonts w:ascii="Times New Roman" w:hAnsi="Times New Roman" w:cs="Times New Roman"/>
          <w:sz w:val="28"/>
          <w:szCs w:val="28"/>
        </w:rPr>
        <w:t>.</w:t>
      </w:r>
    </w:p>
    <w:p w:rsidR="002E3C23" w:rsidRPr="002E3C23" w:rsidRDefault="002E3C23" w:rsidP="00796B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>Целями обобщения и анализа правоприменительной практики</w:t>
      </w:r>
      <w:r w:rsidR="009B36C3">
        <w:rPr>
          <w:rFonts w:ascii="Times New Roman" w:hAnsi="Times New Roman" w:cs="Times New Roman"/>
          <w:sz w:val="28"/>
          <w:szCs w:val="28"/>
        </w:rPr>
        <w:t xml:space="preserve"> Комитета по лицензированию</w:t>
      </w:r>
      <w:r w:rsidRPr="002E3C23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2E3C23" w:rsidRPr="002E3C23" w:rsidRDefault="002E3C23" w:rsidP="002901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 xml:space="preserve">повышение результативности и эффективности контрольно-надзорной деятельности; </w:t>
      </w:r>
    </w:p>
    <w:p w:rsidR="009B36C3" w:rsidRPr="002E3C23" w:rsidRDefault="009B36C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 xml:space="preserve">обеспечение доступности сведений о правоприменительной практике </w:t>
      </w:r>
      <w:r>
        <w:rPr>
          <w:rFonts w:ascii="Times New Roman" w:hAnsi="Times New Roman" w:cs="Times New Roman"/>
          <w:sz w:val="28"/>
          <w:szCs w:val="28"/>
        </w:rPr>
        <w:t>Комитета по лицензированию</w:t>
      </w:r>
      <w:r w:rsidRPr="002E3C23">
        <w:rPr>
          <w:rFonts w:ascii="Times New Roman" w:hAnsi="Times New Roman" w:cs="Times New Roman"/>
          <w:sz w:val="28"/>
          <w:szCs w:val="28"/>
        </w:rPr>
        <w:t xml:space="preserve"> для подконтрольных субъектов; </w:t>
      </w:r>
    </w:p>
    <w:p w:rsidR="002E3C23" w:rsidRPr="002E3C23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</w:t>
      </w:r>
      <w:r w:rsidR="00400AC7">
        <w:rPr>
          <w:rFonts w:ascii="Times New Roman" w:hAnsi="Times New Roman" w:cs="Times New Roman"/>
          <w:sz w:val="28"/>
          <w:szCs w:val="28"/>
        </w:rPr>
        <w:t xml:space="preserve"> Комитета по лицензированию.</w:t>
      </w:r>
    </w:p>
    <w:p w:rsidR="002E3C23" w:rsidRPr="002E3C23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 xml:space="preserve">Задачами обобщения и анализа правоприменительной практики </w:t>
      </w:r>
      <w:r w:rsidR="009B36C3">
        <w:rPr>
          <w:rFonts w:ascii="Times New Roman" w:hAnsi="Times New Roman" w:cs="Times New Roman"/>
          <w:sz w:val="28"/>
          <w:szCs w:val="28"/>
        </w:rPr>
        <w:t>Комитета по лицензированию</w:t>
      </w:r>
      <w:r w:rsidR="009B36C3" w:rsidRPr="002E3C23">
        <w:rPr>
          <w:rFonts w:ascii="Times New Roman" w:hAnsi="Times New Roman" w:cs="Times New Roman"/>
          <w:sz w:val="28"/>
          <w:szCs w:val="28"/>
        </w:rPr>
        <w:t xml:space="preserve"> </w:t>
      </w:r>
      <w:r w:rsidRPr="002E3C23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2E3C23" w:rsidRPr="002E3C23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>выработка оптимальных решений проблем</w:t>
      </w:r>
      <w:r w:rsidR="0055129C">
        <w:rPr>
          <w:rFonts w:ascii="Times New Roman" w:hAnsi="Times New Roman" w:cs="Times New Roman"/>
          <w:sz w:val="28"/>
          <w:szCs w:val="28"/>
        </w:rPr>
        <w:t>ных вопросов</w:t>
      </w:r>
      <w:r w:rsidRPr="002E3C23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с привлечением заинтересованных лиц и их реализация; </w:t>
      </w:r>
    </w:p>
    <w:p w:rsidR="002E3C23" w:rsidRPr="002E3C23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 xml:space="preserve">подготовка предложений по совершенствованию законодательства; </w:t>
      </w:r>
    </w:p>
    <w:p w:rsidR="002E3C23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>выявление типичных нарушений обязательных требований и подготовка предложений по реализации профилактических мер</w:t>
      </w:r>
      <w:r w:rsidR="0055129C">
        <w:rPr>
          <w:rFonts w:ascii="Times New Roman" w:hAnsi="Times New Roman" w:cs="Times New Roman"/>
          <w:sz w:val="28"/>
          <w:szCs w:val="28"/>
        </w:rPr>
        <w:t>оприятий для их предупреждения.</w:t>
      </w:r>
    </w:p>
    <w:p w:rsidR="00D86930" w:rsidRDefault="002E3C23" w:rsidP="00D869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3C23">
        <w:rPr>
          <w:rFonts w:ascii="Times New Roman" w:hAnsi="Times New Roman" w:cs="Times New Roman"/>
          <w:sz w:val="28"/>
          <w:szCs w:val="28"/>
        </w:rPr>
        <w:t> </w:t>
      </w:r>
      <w:r w:rsidR="007F2108" w:rsidRPr="00660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C7998" w:rsidRDefault="00D86930" w:rsidP="00D86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7F2108" w:rsidRPr="00660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7E24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онтрольная деятельность</w:t>
      </w:r>
    </w:p>
    <w:p w:rsidR="00D86930" w:rsidRPr="00660163" w:rsidRDefault="00D86930" w:rsidP="00D86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2108" w:rsidRPr="00660163" w:rsidRDefault="007F2108" w:rsidP="00964D0F">
      <w:pPr>
        <w:spacing w:after="0" w:line="240" w:lineRule="auto"/>
        <w:ind w:firstLine="851"/>
        <w:jc w:val="both"/>
        <w:rPr>
          <w:b/>
          <w:color w:val="000000" w:themeColor="text1"/>
          <w:szCs w:val="28"/>
          <w:u w:val="single"/>
        </w:rPr>
      </w:pPr>
      <w:r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Подконтрольными субъектами, в отношении которых </w:t>
      </w:r>
      <w:r w:rsidR="005E02B0"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лицензированию </w:t>
      </w:r>
      <w:r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проверочные мероприятия</w:t>
      </w:r>
      <w:r w:rsidR="005E02B0"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юридические лица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индивидуальные  предприниматели</w:t>
      </w:r>
      <w:r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>, имеющие лицензию на</w:t>
      </w:r>
      <w:r w:rsidR="00C25EF7" w:rsidRPr="00C25EF7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C25EF7">
        <w:rPr>
          <w:rStyle w:val="blk"/>
          <w:rFonts w:ascii="Times New Roman" w:hAnsi="Times New Roman" w:cs="Times New Roman"/>
          <w:sz w:val="28"/>
          <w:szCs w:val="28"/>
        </w:rPr>
        <w:t xml:space="preserve">осуществлении деятельности </w:t>
      </w:r>
      <w:r w:rsidR="00C25EF7">
        <w:rPr>
          <w:rFonts w:ascii="Times New Roman" w:hAnsi="Times New Roman" w:cs="Times New Roman"/>
          <w:sz w:val="28"/>
          <w:szCs w:val="28"/>
        </w:rPr>
        <w:t>по заготовке, хранению, переработке и реализации лома черных металлов, цветных металлов</w:t>
      </w:r>
      <w:r w:rsidR="005E02B0" w:rsidRPr="00660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90184" w:rsidRDefault="00290184" w:rsidP="00290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  декабря 201</w:t>
      </w:r>
      <w:r w:rsidR="007F30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области осуществляли деятельность по заготовке, хранению, переработке и реализации лома 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металлов, цветных металлов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2DE7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2DE7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лиц, </w:t>
      </w:r>
      <w:r w:rsidR="00A7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предпринимателей) 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</w:t>
      </w:r>
      <w:r w:rsidR="00A72D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70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(пунктах приема лома металлов)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184" w:rsidRPr="00F57052" w:rsidRDefault="00290184" w:rsidP="00290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экономической эффективности подконтрольного вида деятельности представлены в таблице №1.</w:t>
      </w:r>
    </w:p>
    <w:p w:rsidR="00290184" w:rsidRDefault="00290184" w:rsidP="00290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№1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90184" w:rsidRPr="00F57052" w:rsidRDefault="00290184" w:rsidP="00290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927"/>
        <w:gridCol w:w="1134"/>
        <w:gridCol w:w="1134"/>
        <w:gridCol w:w="992"/>
        <w:gridCol w:w="993"/>
        <w:gridCol w:w="1134"/>
        <w:gridCol w:w="1134"/>
      </w:tblGrid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27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показатели эффективности подконтрольного вида деятельности</w:t>
            </w: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2015г.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2016г.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2018г.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рынка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</w:t>
            </w: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73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пунктов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приема лома металлов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выданных лицензий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A72DE7" w:rsidRPr="00F57052" w:rsidRDefault="00466F2C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переоформленных лицензий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A72DE7" w:rsidRPr="00F57052" w:rsidRDefault="00466F2C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плановых 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контрольных проверок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A72DE7" w:rsidRPr="00F57052" w:rsidRDefault="00466F2C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предлицензионных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проверок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34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3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</w:tcPr>
          <w:p w:rsidR="00A72DE7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34" w:type="dxa"/>
          </w:tcPr>
          <w:p w:rsidR="00A72DE7" w:rsidRDefault="00466F2C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средств, поступивших за предоставление, переоформление  лицензий</w:t>
            </w:r>
          </w:p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Pr="00DF47B6" w:rsidRDefault="00A72DE7" w:rsidP="00DF47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1134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61600</w:t>
            </w:r>
          </w:p>
        </w:tc>
        <w:tc>
          <w:tcPr>
            <w:tcW w:w="992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</w:t>
            </w:r>
          </w:p>
        </w:tc>
        <w:tc>
          <w:tcPr>
            <w:tcW w:w="993" w:type="dxa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70750</w:t>
            </w:r>
          </w:p>
        </w:tc>
        <w:tc>
          <w:tcPr>
            <w:tcW w:w="1134" w:type="dxa"/>
          </w:tcPr>
          <w:p w:rsidR="00A72DE7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65750</w:t>
            </w:r>
          </w:p>
        </w:tc>
        <w:tc>
          <w:tcPr>
            <w:tcW w:w="1134" w:type="dxa"/>
          </w:tcPr>
          <w:p w:rsidR="00287455" w:rsidRDefault="00287455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2DE7" w:rsidRDefault="00287455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111 750</w:t>
            </w:r>
          </w:p>
        </w:tc>
      </w:tr>
      <w:tr w:rsidR="00A72DE7" w:rsidRPr="00F57052" w:rsidTr="00A72DE7">
        <w:tc>
          <w:tcPr>
            <w:tcW w:w="725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927" w:type="dxa"/>
            <w:shd w:val="clear" w:color="auto" w:fill="auto"/>
          </w:tcPr>
          <w:p w:rsidR="00A72DE7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лицензиатов, прекративших </w:t>
            </w: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</w:t>
            </w:r>
          </w:p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A72DE7" w:rsidRPr="00F57052" w:rsidRDefault="00A72DE7" w:rsidP="002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A72DE7" w:rsidRPr="00F57052" w:rsidRDefault="00A72DE7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A72DE7" w:rsidRPr="00F57052" w:rsidRDefault="00287455" w:rsidP="000E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290184" w:rsidRPr="00F57052" w:rsidRDefault="00290184" w:rsidP="00290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184" w:rsidRPr="00F57052" w:rsidRDefault="00290184" w:rsidP="002901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Проводя анализ и оценку эффективности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подконтрольного вида деятельности </w:t>
      </w: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необходимо  </w:t>
      </w:r>
      <w:r w:rsidR="00AD4B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отметить</w:t>
      </w:r>
      <w:r w:rsidR="00897BD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следующие тенденции</w:t>
      </w:r>
      <w:r w:rsidR="00AD4B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290184" w:rsidRPr="00F57052" w:rsidRDefault="00290184" w:rsidP="008A0F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 последние два года </w:t>
      </w:r>
      <w:r w:rsidR="00AD4B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наблюдается относительная стабильность</w:t>
      </w: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количества организаций, получающих лицензии на осуществление деятельности  по заготовке, хранению, переработке и реализации  лома черных металлов, цветных металлов;</w:t>
      </w:r>
    </w:p>
    <w:p w:rsidR="00290184" w:rsidRPr="00F57052" w:rsidRDefault="00290184" w:rsidP="008A0F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увеличилось количество  переоформленных лицензий;</w:t>
      </w:r>
    </w:p>
    <w:p w:rsidR="00290184" w:rsidRPr="00F57052" w:rsidRDefault="00290184" w:rsidP="008A0F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сократилось   количество организаций,  которые приняли решение о доср</w:t>
      </w:r>
      <w:r w:rsidR="00AD4B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очном прекращении деятельности</w:t>
      </w: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290184" w:rsidRPr="00400AC7" w:rsidRDefault="00290184" w:rsidP="002901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При этом деятельность по заготовке, хранению, переработке и реализации лома черных металлов, цветных металлов  ведется  в большинстве районов</w:t>
      </w:r>
      <w:r w:rsidR="00897BD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Томской области</w:t>
      </w:r>
      <w:r w:rsidRPr="00F570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660FE" w:rsidRPr="00E660FE" w:rsidRDefault="00796BAD" w:rsidP="00E660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60F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660FE" w:rsidRPr="00E660FE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r w:rsidRPr="00E660FE">
        <w:rPr>
          <w:rFonts w:ascii="Times New Roman" w:hAnsi="Times New Roman" w:cs="Times New Roman"/>
          <w:sz w:val="28"/>
          <w:szCs w:val="28"/>
        </w:rPr>
        <w:t> </w:t>
      </w:r>
      <w:r w:rsidR="00E660FE" w:rsidRPr="00E660FE">
        <w:rPr>
          <w:rFonts w:ascii="Times New Roman" w:hAnsi="Times New Roman" w:cs="Times New Roman"/>
          <w:sz w:val="28"/>
          <w:szCs w:val="28"/>
        </w:rPr>
        <w:t xml:space="preserve">за совершение </w:t>
      </w:r>
      <w:r w:rsidRPr="00E660FE">
        <w:rPr>
          <w:rFonts w:ascii="Times New Roman" w:hAnsi="Times New Roman" w:cs="Times New Roman"/>
          <w:sz w:val="28"/>
          <w:szCs w:val="28"/>
        </w:rPr>
        <w:t xml:space="preserve"> </w:t>
      </w:r>
      <w:r w:rsidR="00E660FE" w:rsidRPr="00E660FE">
        <w:rPr>
          <w:rFonts w:ascii="Times New Roman" w:hAnsi="Times New Roman" w:cs="Times New Roman"/>
          <w:sz w:val="28"/>
          <w:szCs w:val="28"/>
        </w:rPr>
        <w:t>действий уполномоченных органов, связанных</w:t>
      </w:r>
      <w:r w:rsidR="008B0A53">
        <w:rPr>
          <w:rFonts w:ascii="Times New Roman" w:hAnsi="Times New Roman" w:cs="Times New Roman"/>
          <w:sz w:val="28"/>
          <w:szCs w:val="28"/>
        </w:rPr>
        <w:t xml:space="preserve"> с лицензированием</w:t>
      </w:r>
      <w:r w:rsidR="00E660FE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Pr="00E660FE">
        <w:rPr>
          <w:rFonts w:ascii="Times New Roman" w:hAnsi="Times New Roman" w:cs="Times New Roman"/>
          <w:sz w:val="28"/>
          <w:szCs w:val="28"/>
        </w:rPr>
        <w:t xml:space="preserve">, </w:t>
      </w:r>
      <w:r w:rsidR="00E660FE">
        <w:rPr>
          <w:rFonts w:ascii="Times New Roman" w:hAnsi="Times New Roman" w:cs="Times New Roman"/>
          <w:sz w:val="28"/>
          <w:szCs w:val="28"/>
        </w:rPr>
        <w:lastRenderedPageBreak/>
        <w:t>хранения, переработки</w:t>
      </w:r>
      <w:r w:rsidRPr="00E660FE">
        <w:rPr>
          <w:rFonts w:ascii="Times New Roman" w:hAnsi="Times New Roman" w:cs="Times New Roman"/>
          <w:sz w:val="28"/>
          <w:szCs w:val="28"/>
        </w:rPr>
        <w:t xml:space="preserve"> и реализации лома черных металлов, цветных металлов взымается  государственная пошлина</w:t>
      </w:r>
      <w:r w:rsidR="00E660FE" w:rsidRPr="00E660FE">
        <w:rPr>
          <w:rFonts w:ascii="Times New Roman" w:hAnsi="Times New Roman" w:cs="Times New Roman"/>
          <w:sz w:val="28"/>
          <w:szCs w:val="28"/>
        </w:rPr>
        <w:t xml:space="preserve"> в следующих размерах</w:t>
      </w:r>
      <w:r w:rsidRPr="00E660FE">
        <w:rPr>
          <w:rFonts w:ascii="Times New Roman" w:hAnsi="Times New Roman" w:cs="Times New Roman"/>
          <w:sz w:val="28"/>
          <w:szCs w:val="28"/>
        </w:rPr>
        <w:t>:</w:t>
      </w:r>
    </w:p>
    <w:p w:rsidR="00E660FE" w:rsidRDefault="00796BAD" w:rsidP="00E660FE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0A0E">
        <w:rPr>
          <w:sz w:val="28"/>
          <w:szCs w:val="28"/>
        </w:rPr>
        <w:t>за предоставление лицензии в размере 7500 рублей;</w:t>
      </w:r>
    </w:p>
    <w:p w:rsidR="00E660FE" w:rsidRDefault="00796BAD" w:rsidP="00E660FE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0A0E">
        <w:rPr>
          <w:sz w:val="28"/>
          <w:szCs w:val="28"/>
        </w:rPr>
        <w:t>за переоформление лицензии, приложения к лицензии в связи с внесением дополнений в сведения об адресах мест осуществления, о выполняемых работах и об оказываемых услугах в размере 3500 рублей;</w:t>
      </w:r>
    </w:p>
    <w:p w:rsidR="00E660FE" w:rsidRDefault="00796BAD" w:rsidP="00E660FE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0A0E">
        <w:rPr>
          <w:sz w:val="28"/>
          <w:szCs w:val="28"/>
        </w:rPr>
        <w:t>за переоформление документа, подтверждающего наличие лицензии и приложения в других случаях (закрытие лицензируемого вида работ, услуг, адреса мест осуществления) в размере 750 рублей;</w:t>
      </w:r>
    </w:p>
    <w:p w:rsidR="008B0A53" w:rsidRDefault="00796BAD" w:rsidP="008B0A53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0A0E">
        <w:rPr>
          <w:sz w:val="28"/>
          <w:szCs w:val="28"/>
        </w:rPr>
        <w:t>за предоставление дубликата лицензии в размере 750 рублей.</w:t>
      </w:r>
    </w:p>
    <w:p w:rsidR="008B0A53" w:rsidRDefault="00796BAD" w:rsidP="008B0A53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57052">
        <w:rPr>
          <w:sz w:val="28"/>
          <w:szCs w:val="28"/>
        </w:rPr>
        <w:t xml:space="preserve"> 201</w:t>
      </w:r>
      <w:r w:rsidR="00287455">
        <w:rPr>
          <w:sz w:val="28"/>
          <w:szCs w:val="28"/>
        </w:rPr>
        <w:t>8</w:t>
      </w:r>
      <w:r w:rsidRPr="00F5705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сумма </w:t>
      </w:r>
      <w:r w:rsidR="008B0A53">
        <w:rPr>
          <w:sz w:val="28"/>
          <w:szCs w:val="28"/>
        </w:rPr>
        <w:t xml:space="preserve">государственной пошлины, полученной за предоставление </w:t>
      </w:r>
      <w:r w:rsidRPr="00F57052">
        <w:rPr>
          <w:sz w:val="28"/>
          <w:szCs w:val="28"/>
        </w:rPr>
        <w:t xml:space="preserve"> и переоформление лицензий </w:t>
      </w:r>
      <w:r w:rsidR="008B0A53">
        <w:rPr>
          <w:sz w:val="28"/>
          <w:szCs w:val="28"/>
        </w:rPr>
        <w:t>на деятельность по заготовке, хранению, переработке и реализации</w:t>
      </w:r>
      <w:r w:rsidRPr="00F57052">
        <w:rPr>
          <w:sz w:val="28"/>
          <w:szCs w:val="28"/>
        </w:rPr>
        <w:t xml:space="preserve"> лома </w:t>
      </w:r>
      <w:r w:rsidR="008B0A53">
        <w:rPr>
          <w:sz w:val="28"/>
          <w:szCs w:val="28"/>
        </w:rPr>
        <w:t xml:space="preserve"> </w:t>
      </w:r>
      <w:r w:rsidRPr="00F57052">
        <w:rPr>
          <w:sz w:val="28"/>
          <w:szCs w:val="28"/>
        </w:rPr>
        <w:t>черных металлов, цве</w:t>
      </w:r>
      <w:r>
        <w:rPr>
          <w:sz w:val="28"/>
          <w:szCs w:val="28"/>
        </w:rPr>
        <w:t xml:space="preserve">тных металлов </w:t>
      </w:r>
      <w:r w:rsidR="008B0A53">
        <w:rPr>
          <w:sz w:val="28"/>
          <w:szCs w:val="28"/>
        </w:rPr>
        <w:t>на территории Томской области,</w:t>
      </w:r>
      <w:r>
        <w:rPr>
          <w:sz w:val="28"/>
          <w:szCs w:val="28"/>
        </w:rPr>
        <w:t xml:space="preserve"> составила  </w:t>
      </w:r>
      <w:r w:rsidR="00287455">
        <w:rPr>
          <w:sz w:val="28"/>
          <w:szCs w:val="28"/>
        </w:rPr>
        <w:t>111</w:t>
      </w:r>
      <w:r>
        <w:rPr>
          <w:sz w:val="28"/>
          <w:szCs w:val="28"/>
        </w:rPr>
        <w:t xml:space="preserve"> </w:t>
      </w:r>
      <w:r w:rsidRPr="00F57052">
        <w:rPr>
          <w:sz w:val="28"/>
          <w:szCs w:val="28"/>
        </w:rPr>
        <w:t>75</w:t>
      </w:r>
      <w:r w:rsidR="008B0A53">
        <w:rPr>
          <w:sz w:val="28"/>
          <w:szCs w:val="28"/>
        </w:rPr>
        <w:t>0 рублей</w:t>
      </w:r>
      <w:r>
        <w:rPr>
          <w:sz w:val="28"/>
          <w:szCs w:val="28"/>
        </w:rPr>
        <w:t xml:space="preserve"> (выполнение плана </w:t>
      </w:r>
      <w:bookmarkStart w:id="0" w:name="_GoBack"/>
      <w:r w:rsidR="00371E0B" w:rsidRPr="00371E0B">
        <w:rPr>
          <w:sz w:val="28"/>
          <w:szCs w:val="28"/>
        </w:rPr>
        <w:t>220</w:t>
      </w:r>
      <w:bookmarkEnd w:id="0"/>
      <w:r>
        <w:rPr>
          <w:sz w:val="28"/>
          <w:szCs w:val="28"/>
        </w:rPr>
        <w:t>%).</w:t>
      </w:r>
    </w:p>
    <w:p w:rsidR="00796BAD" w:rsidRPr="00B96DDF" w:rsidRDefault="00796BAD" w:rsidP="008B0A53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2014</w:t>
      </w:r>
      <w:r w:rsidR="003D7119">
        <w:rPr>
          <w:sz w:val="28"/>
          <w:szCs w:val="28"/>
        </w:rPr>
        <w:t xml:space="preserve"> году сумма государственной пошлины, полученной за предоставление </w:t>
      </w:r>
      <w:r w:rsidR="003D7119" w:rsidRPr="00F57052">
        <w:rPr>
          <w:sz w:val="28"/>
          <w:szCs w:val="28"/>
        </w:rPr>
        <w:t xml:space="preserve"> и переоформление лицензий </w:t>
      </w:r>
      <w:r w:rsidR="003D7119">
        <w:rPr>
          <w:sz w:val="28"/>
          <w:szCs w:val="28"/>
        </w:rPr>
        <w:t>на деятельность по заготовке, хранению, переработке и реализации</w:t>
      </w:r>
      <w:r w:rsidR="003D7119" w:rsidRPr="00F57052">
        <w:rPr>
          <w:sz w:val="28"/>
          <w:szCs w:val="28"/>
        </w:rPr>
        <w:t xml:space="preserve"> лома </w:t>
      </w:r>
      <w:r w:rsidR="003D7119">
        <w:rPr>
          <w:sz w:val="28"/>
          <w:szCs w:val="28"/>
        </w:rPr>
        <w:t xml:space="preserve"> </w:t>
      </w:r>
      <w:r w:rsidR="003D7119" w:rsidRPr="00F57052">
        <w:rPr>
          <w:sz w:val="28"/>
          <w:szCs w:val="28"/>
        </w:rPr>
        <w:t>черных металлов, цве</w:t>
      </w:r>
      <w:r w:rsidR="003D7119">
        <w:rPr>
          <w:sz w:val="28"/>
          <w:szCs w:val="28"/>
        </w:rPr>
        <w:t xml:space="preserve">тных металлов на территории Томской области, составила  </w:t>
      </w:r>
      <w:r>
        <w:rPr>
          <w:sz w:val="28"/>
          <w:szCs w:val="28"/>
        </w:rPr>
        <w:t>61</w:t>
      </w:r>
      <w:r w:rsidR="003D7119">
        <w:rPr>
          <w:sz w:val="28"/>
          <w:szCs w:val="28"/>
        </w:rPr>
        <w:t xml:space="preserve"> </w:t>
      </w:r>
      <w:r>
        <w:rPr>
          <w:sz w:val="28"/>
          <w:szCs w:val="28"/>
        </w:rPr>
        <w:t>600 руб</w:t>
      </w:r>
      <w:r w:rsidR="003D7119">
        <w:rPr>
          <w:sz w:val="28"/>
          <w:szCs w:val="28"/>
        </w:rPr>
        <w:t>лей</w:t>
      </w:r>
      <w:r>
        <w:rPr>
          <w:sz w:val="28"/>
          <w:szCs w:val="28"/>
        </w:rPr>
        <w:t>,  в 2015году – 150</w:t>
      </w:r>
      <w:r w:rsidR="003D7119">
        <w:rPr>
          <w:sz w:val="28"/>
          <w:szCs w:val="28"/>
        </w:rPr>
        <w:t xml:space="preserve"> </w:t>
      </w:r>
      <w:r>
        <w:rPr>
          <w:sz w:val="28"/>
          <w:szCs w:val="28"/>
        </w:rPr>
        <w:t>000  руб</w:t>
      </w:r>
      <w:r w:rsidR="003D7119">
        <w:rPr>
          <w:sz w:val="28"/>
          <w:szCs w:val="28"/>
        </w:rPr>
        <w:t>лей</w:t>
      </w:r>
      <w:r>
        <w:rPr>
          <w:sz w:val="28"/>
          <w:szCs w:val="28"/>
        </w:rPr>
        <w:t>,  2016</w:t>
      </w:r>
      <w:r w:rsidR="003D7119">
        <w:rPr>
          <w:sz w:val="28"/>
          <w:szCs w:val="28"/>
        </w:rPr>
        <w:t xml:space="preserve"> </w:t>
      </w:r>
      <w:r>
        <w:rPr>
          <w:sz w:val="28"/>
          <w:szCs w:val="28"/>
        </w:rPr>
        <w:t>году – 70</w:t>
      </w:r>
      <w:r w:rsidR="003D7119">
        <w:rPr>
          <w:sz w:val="28"/>
          <w:szCs w:val="28"/>
        </w:rPr>
        <w:t xml:space="preserve"> </w:t>
      </w:r>
      <w:r>
        <w:rPr>
          <w:sz w:val="28"/>
          <w:szCs w:val="28"/>
        </w:rPr>
        <w:t>750 руб</w:t>
      </w:r>
      <w:r w:rsidR="003D7119">
        <w:rPr>
          <w:sz w:val="28"/>
          <w:szCs w:val="28"/>
        </w:rPr>
        <w:t>лей</w:t>
      </w:r>
      <w:r w:rsidR="00287455">
        <w:rPr>
          <w:sz w:val="28"/>
          <w:szCs w:val="28"/>
        </w:rPr>
        <w:t xml:space="preserve">, 2017 году – </w:t>
      </w:r>
      <w:r w:rsidR="00287455" w:rsidRPr="00287455">
        <w:rPr>
          <w:sz w:val="28"/>
          <w:szCs w:val="28"/>
        </w:rPr>
        <w:t>65</w:t>
      </w:r>
      <w:r w:rsidR="00287455">
        <w:rPr>
          <w:sz w:val="28"/>
          <w:szCs w:val="28"/>
        </w:rPr>
        <w:t> </w:t>
      </w:r>
      <w:r w:rsidR="00287455" w:rsidRPr="00287455">
        <w:rPr>
          <w:sz w:val="28"/>
          <w:szCs w:val="28"/>
        </w:rPr>
        <w:t>750</w:t>
      </w:r>
      <w:r w:rsidR="00287455">
        <w:rPr>
          <w:sz w:val="28"/>
          <w:szCs w:val="28"/>
        </w:rPr>
        <w:t xml:space="preserve"> рублей.</w:t>
      </w:r>
    </w:p>
    <w:p w:rsidR="00F65BEE" w:rsidRPr="00C15013" w:rsidRDefault="00F65BEE" w:rsidP="00E660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</w:t>
      </w:r>
      <w:r w:rsidR="006B213C"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рольная деятельность </w:t>
      </w: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осуществляется </w:t>
      </w:r>
      <w:r w:rsidR="006B213C"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Комитетом по лицензированию посредством </w:t>
      </w: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</w:t>
      </w:r>
      <w:r w:rsidR="006B213C"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плановых, внеплановых, </w:t>
      </w: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документарных, выездных проверок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940E6" w:rsidRPr="00F57052" w:rsidRDefault="00F65BEE" w:rsidP="00E660F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Плановые проверки, как документарные, так и выездные</w:t>
      </w:r>
      <w:r w:rsidR="006B213C"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Комитет по лицензированию проводит </w:t>
      </w: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6B213C"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основании </w:t>
      </w: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ежегодных планов проведения проверок.</w:t>
      </w:r>
      <w:r w:rsidR="00E940E6" w:rsidRPr="00E940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40E6" w:rsidRPr="00F57052" w:rsidRDefault="00E940E6" w:rsidP="00607BF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7052">
        <w:rPr>
          <w:rFonts w:ascii="Times New Roman" w:eastAsia="Calibri" w:hAnsi="Times New Roman" w:cs="Times New Roman"/>
          <w:sz w:val="28"/>
          <w:szCs w:val="28"/>
        </w:rPr>
        <w:t>Утвержденный ежегодный план проведения плановых проверок доводится до сведения заинтересованных лиц посредством его размещения на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фициальном сайте Комитета </w:t>
      </w:r>
      <w:hyperlink r:id="rId13" w:history="1"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kl</w:t>
        </w:r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tomsk</w:t>
        </w:r>
        <w:proofErr w:type="spellEnd"/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A713A" w:rsidRDefault="00C25EF7" w:rsidP="00607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Согласно </w:t>
      </w:r>
      <w:r w:rsidR="00A06658" w:rsidRPr="00915E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статьи 26.1  Федерального закона  № 294-ФЗ «О защите прав юридических лиц и индивидуальных предпринимателей при осуществлении государственного контроля (надз</w:t>
      </w:r>
      <w:r w:rsidR="00400AC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ора) и муниципального контроля» </w:t>
      </w:r>
      <w:r w:rsidR="00A06658" w:rsidRPr="00915E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1 января 2016 года по 31 декабря 2018 года не проводятся плановые проверки в отношении </w:t>
      </w:r>
      <w:r w:rsidR="00607BFA">
        <w:rPr>
          <w:rFonts w:ascii="Times New Roman" w:hAnsi="Times New Roman" w:cs="Times New Roman"/>
          <w:sz w:val="28"/>
          <w:szCs w:val="28"/>
        </w:rPr>
        <w:t xml:space="preserve">юридических лиц, индивидуальных предпринимателей, отнесенных в соответствии с положениями </w:t>
      </w:r>
      <w:hyperlink r:id="rId14" w:history="1">
        <w:r w:rsidR="00607BFA">
          <w:rPr>
            <w:rFonts w:ascii="Times New Roman" w:hAnsi="Times New Roman" w:cs="Times New Roman"/>
            <w:color w:val="0000FF"/>
            <w:sz w:val="28"/>
            <w:szCs w:val="28"/>
          </w:rPr>
          <w:t>статьи 4</w:t>
        </w:r>
      </w:hyperlink>
      <w:r w:rsidR="00607BFA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</w:t>
      </w:r>
      <w:proofErr w:type="gramEnd"/>
      <w:r w:rsidR="00607BFA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в Российской Федерации" к субъектам малого предпринимательства. </w:t>
      </w:r>
      <w:r w:rsidR="009D6BCF" w:rsidRPr="00F5705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Организации,</w:t>
      </w:r>
      <w:r w:rsidR="00607BF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индивидуальные предприниматели </w:t>
      </w:r>
      <w:r w:rsidR="009D6BCF" w:rsidRPr="00F5705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осуществляющие деятельность по заготовке, хранению, переработке и реализации лома черных металлов, цветных металлов на территории Томской области, в большей степени, являются</w:t>
      </w:r>
      <w:r w:rsidR="009D6BCF" w:rsidRPr="00F5705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субъектами  малого и среднего бизнеса.</w:t>
      </w:r>
      <w:r w:rsidR="00A06658" w:rsidRPr="00915E2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2108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этим, количество</w:t>
      </w:r>
      <w:r w:rsidR="00EC0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плановых контрольных </w:t>
      </w:r>
      <w:r w:rsidR="007F2108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проверок в отношении организаций, </w:t>
      </w:r>
      <w:r w:rsidR="00607B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индивидуальных предпринимателей, </w:t>
      </w:r>
      <w:r w:rsidR="007F2108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>имеющих лицензию</w:t>
      </w:r>
      <w:r w:rsidR="00F57052" w:rsidRPr="00F57052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F57052">
        <w:rPr>
          <w:rStyle w:val="blk"/>
          <w:rFonts w:ascii="Times New Roman" w:hAnsi="Times New Roman" w:cs="Times New Roman"/>
          <w:sz w:val="28"/>
          <w:szCs w:val="28"/>
        </w:rPr>
        <w:t xml:space="preserve">на деятельность </w:t>
      </w:r>
      <w:r w:rsidR="00F57052">
        <w:rPr>
          <w:rFonts w:ascii="Times New Roman" w:hAnsi="Times New Roman" w:cs="Times New Roman"/>
          <w:sz w:val="28"/>
          <w:szCs w:val="28"/>
        </w:rPr>
        <w:t>по заготовке, хранению, переработке и реализации лома черных металлов, цветных металлов,</w:t>
      </w:r>
      <w:r w:rsidR="007F2108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значительно сократилось</w:t>
      </w:r>
      <w:r w:rsidR="008A713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87455" w:rsidRDefault="00287455" w:rsidP="00607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7455" w:rsidRDefault="00287455" w:rsidP="00607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7AB8" w:rsidRDefault="00567AB8" w:rsidP="00E660F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74"/>
        <w:gridCol w:w="1035"/>
        <w:gridCol w:w="1134"/>
        <w:gridCol w:w="1276"/>
        <w:gridCol w:w="1134"/>
        <w:gridCol w:w="1134"/>
        <w:gridCol w:w="1134"/>
      </w:tblGrid>
      <w:tr w:rsidR="00287455" w:rsidTr="00287455">
        <w:tc>
          <w:tcPr>
            <w:tcW w:w="3574" w:type="dxa"/>
          </w:tcPr>
          <w:p w:rsidR="00287455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Год</w:t>
            </w:r>
          </w:p>
          <w:p w:rsidR="00287455" w:rsidRPr="008A713A" w:rsidRDefault="00287455" w:rsidP="003D7119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5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2013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2014</w:t>
            </w:r>
          </w:p>
        </w:tc>
        <w:tc>
          <w:tcPr>
            <w:tcW w:w="1276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2016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2017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</w:t>
            </w:r>
          </w:p>
        </w:tc>
      </w:tr>
      <w:tr w:rsidR="00287455" w:rsidTr="00287455">
        <w:tc>
          <w:tcPr>
            <w:tcW w:w="3574" w:type="dxa"/>
          </w:tcPr>
          <w:p w:rsidR="00287455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плановых проверок</w:t>
            </w:r>
          </w:p>
          <w:p w:rsidR="00287455" w:rsidRPr="008A713A" w:rsidRDefault="00287455" w:rsidP="003D7119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5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87455" w:rsidRPr="008A713A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287455" w:rsidRDefault="00287455" w:rsidP="003D711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7F2108" w:rsidRDefault="007F2108" w:rsidP="00E660F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3D7119" w:rsidRDefault="007F2108" w:rsidP="00833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13C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>планом</w:t>
      </w: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на 20</w:t>
      </w:r>
      <w:r w:rsidR="0028745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6F4635"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>лицензированию проведена одна  плановая выездная проверка в отношении  юридического</w:t>
      </w: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C25EF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15E2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5796A" w:rsidRPr="0025796A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25796A">
        <w:rPr>
          <w:rStyle w:val="blk"/>
          <w:rFonts w:ascii="Times New Roman" w:hAnsi="Times New Roman" w:cs="Times New Roman"/>
          <w:sz w:val="28"/>
          <w:szCs w:val="28"/>
        </w:rPr>
        <w:t xml:space="preserve">осуществляющего  деятельность </w:t>
      </w:r>
      <w:r w:rsidR="0025796A">
        <w:rPr>
          <w:rFonts w:ascii="Times New Roman" w:hAnsi="Times New Roman" w:cs="Times New Roman"/>
          <w:sz w:val="28"/>
          <w:szCs w:val="28"/>
        </w:rPr>
        <w:t xml:space="preserve">по заготовке, хранению, переработке и реализации лома черных металлов, цветных металлов. </w:t>
      </w:r>
      <w:r w:rsidR="009D6BCF" w:rsidRPr="00F5705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Нарушений лицензионных требований в ходе плановой проверки организации не выявлено.</w:t>
      </w:r>
      <w:r w:rsidR="00F57052"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6BAD" w:rsidRDefault="00F57052" w:rsidP="003D71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52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</w:t>
      </w:r>
      <w:r w:rsidR="002874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</w:t>
      </w:r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по лицензированию </w:t>
      </w:r>
      <w:r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8745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3D7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предлицензионных</w:t>
      </w:r>
      <w:proofErr w:type="spellEnd"/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проверок, в том числе:</w:t>
      </w:r>
    </w:p>
    <w:p w:rsidR="00796BAD" w:rsidRDefault="00287455" w:rsidP="00E660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57052"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</w:t>
      </w:r>
      <w:r w:rsidR="0079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052"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57052"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рассмотрением заявления о предоставлении   лицензии на деятельность по  заготовке</w:t>
      </w:r>
      <w:proofErr w:type="gramEnd"/>
      <w:r w:rsidR="00F57052" w:rsidRPr="00F57052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хранению, переработке и реализации лома черных металлов, цветных металлов;</w:t>
      </w:r>
    </w:p>
    <w:p w:rsidR="003D7119" w:rsidRDefault="00F57052" w:rsidP="003D71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4F575C"/>
          <w:sz w:val="21"/>
          <w:szCs w:val="21"/>
        </w:rPr>
      </w:pPr>
      <w:r w:rsidRPr="00796BAD">
        <w:rPr>
          <w:rFonts w:ascii="Times New Roman" w:hAnsi="Times New Roman" w:cs="Times New Roman"/>
          <w:sz w:val="28"/>
          <w:szCs w:val="28"/>
        </w:rPr>
        <w:t>1</w:t>
      </w:r>
      <w:r w:rsidR="00287455">
        <w:rPr>
          <w:rFonts w:ascii="Times New Roman" w:hAnsi="Times New Roman" w:cs="Times New Roman"/>
          <w:sz w:val="28"/>
          <w:szCs w:val="28"/>
        </w:rPr>
        <w:t>6</w:t>
      </w:r>
      <w:r w:rsidRPr="00796BAD">
        <w:rPr>
          <w:rFonts w:ascii="Times New Roman" w:hAnsi="Times New Roman" w:cs="Times New Roman"/>
          <w:sz w:val="28"/>
          <w:szCs w:val="28"/>
        </w:rPr>
        <w:t xml:space="preserve"> проверок </w:t>
      </w:r>
      <w:proofErr w:type="gramStart"/>
      <w:r w:rsidRPr="00796BAD">
        <w:rPr>
          <w:rFonts w:ascii="Times New Roman" w:hAnsi="Times New Roman" w:cs="Times New Roman"/>
          <w:sz w:val="28"/>
          <w:szCs w:val="28"/>
        </w:rPr>
        <w:t>в связи с рассмотрением заявления о переоформлении лицензии на деятельность по  заготовке</w:t>
      </w:r>
      <w:proofErr w:type="gramEnd"/>
      <w:r w:rsidRPr="00796BAD">
        <w:rPr>
          <w:rFonts w:ascii="Times New Roman" w:hAnsi="Times New Roman" w:cs="Times New Roman"/>
          <w:sz w:val="28"/>
          <w:szCs w:val="28"/>
        </w:rPr>
        <w:t xml:space="preserve">, хранению, переработке и реализации лома черных металлов, цветных металлов. </w:t>
      </w:r>
      <w:r w:rsidR="005B0A0E" w:rsidRPr="00796BAD">
        <w:rPr>
          <w:rFonts w:ascii="Times New Roman" w:hAnsi="Times New Roman" w:cs="Times New Roman"/>
          <w:color w:val="4F575C"/>
          <w:sz w:val="21"/>
          <w:szCs w:val="21"/>
        </w:rPr>
        <w:t> </w:t>
      </w:r>
    </w:p>
    <w:p w:rsidR="00987731" w:rsidRPr="003D7119" w:rsidRDefault="00987731" w:rsidP="003D71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7119">
        <w:rPr>
          <w:rFonts w:ascii="Times New Roman" w:hAnsi="Times New Roman" w:cs="Times New Roman"/>
          <w:sz w:val="28"/>
          <w:szCs w:val="28"/>
        </w:rPr>
        <w:t xml:space="preserve">По итогам проведения </w:t>
      </w:r>
      <w:proofErr w:type="spellStart"/>
      <w:r w:rsidRPr="003D7119">
        <w:rPr>
          <w:rFonts w:ascii="Times New Roman" w:hAnsi="Times New Roman" w:cs="Times New Roman"/>
          <w:sz w:val="28"/>
          <w:szCs w:val="28"/>
        </w:rPr>
        <w:t>предлицензионных</w:t>
      </w:r>
      <w:proofErr w:type="spellEnd"/>
      <w:r w:rsidRPr="003D7119">
        <w:rPr>
          <w:rFonts w:ascii="Times New Roman" w:hAnsi="Times New Roman" w:cs="Times New Roman"/>
          <w:sz w:val="28"/>
          <w:szCs w:val="28"/>
        </w:rPr>
        <w:t xml:space="preserve"> проверок </w:t>
      </w:r>
      <w:r w:rsidR="00796BAD" w:rsidRPr="003D7119">
        <w:rPr>
          <w:rFonts w:ascii="Times New Roman" w:hAnsi="Times New Roman" w:cs="Times New Roman"/>
          <w:sz w:val="28"/>
          <w:szCs w:val="28"/>
        </w:rPr>
        <w:t xml:space="preserve">фактов несоответствия соискателей лицензии или лицензиатов лицензионным требований </w:t>
      </w:r>
      <w:r w:rsidR="00054A62" w:rsidRPr="003D7119">
        <w:rPr>
          <w:rFonts w:ascii="Times New Roman" w:hAnsi="Times New Roman" w:cs="Times New Roman"/>
          <w:sz w:val="28"/>
          <w:szCs w:val="28"/>
        </w:rPr>
        <w:t>не</w:t>
      </w:r>
      <w:r w:rsidR="00796BAD" w:rsidRPr="003D7119">
        <w:rPr>
          <w:rFonts w:ascii="Times New Roman" w:hAnsi="Times New Roman" w:cs="Times New Roman"/>
          <w:sz w:val="28"/>
          <w:szCs w:val="28"/>
        </w:rPr>
        <w:t xml:space="preserve"> выявлено</w:t>
      </w:r>
      <w:r w:rsidR="00054A62" w:rsidRPr="003D7119">
        <w:rPr>
          <w:rFonts w:ascii="Times New Roman" w:hAnsi="Times New Roman" w:cs="Times New Roman"/>
          <w:sz w:val="28"/>
          <w:szCs w:val="28"/>
        </w:rPr>
        <w:t>.</w:t>
      </w:r>
    </w:p>
    <w:p w:rsidR="00B52EF1" w:rsidRPr="0063563E" w:rsidRDefault="00F57052" w:rsidP="00B52E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711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заявления о предоставлении</w:t>
      </w:r>
      <w:r w:rsidR="003D7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переоформлении </w:t>
      </w:r>
      <w:r w:rsidRPr="003D7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лицензий рассмотрены в</w:t>
      </w:r>
      <w:r w:rsidR="003D7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119" w:rsidRPr="006356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установленные законом</w:t>
      </w:r>
      <w:r w:rsidRPr="006356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сроки.</w:t>
      </w:r>
    </w:p>
    <w:p w:rsidR="0063563E" w:rsidRPr="0063563E" w:rsidRDefault="0063563E" w:rsidP="00635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201</w:t>
      </w:r>
      <w:r w:rsidR="002874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 случаев причинения юридическими лицами и индивидуальными предпринимателями, в отношении которых осуществлялись мероприятия по контролю, вреда жизни и здоровью граждан, окружающей среде, а также случаев возникновения чрезвычайных ситуаций природного и техногенного характера не установлено.</w:t>
      </w:r>
    </w:p>
    <w:p w:rsidR="00B52EF1" w:rsidRPr="0063563E" w:rsidRDefault="00B52EF1" w:rsidP="00B52EF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563E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установленных законом требований к организации и проведению проверок Комитетом по лицензированию, либо его должностными лицами не допускались.</w:t>
      </w:r>
    </w:p>
    <w:p w:rsidR="000D1F84" w:rsidRPr="0063563E" w:rsidRDefault="00BF7E98" w:rsidP="00E660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2018</w:t>
      </w:r>
      <w:r w:rsidR="000D1F84" w:rsidRPr="00BF7E9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1F84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B734F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Комитет по лицензированию поступило 1 обращение гражданина, в котором </w:t>
      </w:r>
      <w:r w:rsidR="00987731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содержалась информация </w:t>
      </w:r>
      <w:r w:rsidR="000D1F84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об осуществлении </w:t>
      </w:r>
      <w:r w:rsidR="00987731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деятельности по заготовке, хран</w:t>
      </w:r>
      <w:r w:rsidR="0063563E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ению</w:t>
      </w:r>
      <w:r w:rsidR="00987731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 переработке и реализации лома черных металлов, цветных  металлов</w:t>
      </w:r>
      <w:r w:rsidR="002B70C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нарушении санитарно-эпидемиологических требований.</w:t>
      </w:r>
      <w:r w:rsidR="00987731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B70C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Данное обращение было направлено </w:t>
      </w:r>
      <w:proofErr w:type="gramStart"/>
      <w:r w:rsidR="002B70C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для рассмотрения в пределах компетенции в Управление Федеральной службы по надзору в сфере</w:t>
      </w:r>
      <w:proofErr w:type="gramEnd"/>
      <w:r w:rsidR="002B70C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защиты прав потребителей и благополучия человека по Томской области. </w:t>
      </w:r>
    </w:p>
    <w:p w:rsidR="0063563E" w:rsidRPr="0063563E" w:rsidRDefault="000D1F84" w:rsidP="0063563E">
      <w:pPr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При наличии в обращениях вопросов, решение которых не входит в компетенцию Комитета</w:t>
      </w:r>
      <w:r w:rsidR="0063563E"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по лицензированию</w:t>
      </w:r>
      <w:r w:rsidRPr="006356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обращения в соответствии с ч. 3 ст. 8 Федерального закона от 2 мая 2006 года № 59-ФЗ «О порядке рассмотрения граждан Российской Федерации» направлены в органы, в компетенцию которых входит решение поставленных в обращении вопросов.</w:t>
      </w:r>
      <w:r w:rsidRPr="0063563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63563E" w:rsidRDefault="0063563E" w:rsidP="0063563E">
      <w:pPr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56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Комитет по лицензированию при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осуществлении контрольных полномочий взаимодействует с У</w:t>
      </w:r>
      <w:r w:rsid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правлением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МВД России по Томской области, У</w:t>
      </w:r>
      <w:r w:rsid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правлением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ФНС России по Томской области, Управлением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Томской области, органами прокуратуры.</w:t>
      </w:r>
    </w:p>
    <w:p w:rsidR="00796BAD" w:rsidRPr="008F29F6" w:rsidRDefault="00796BAD" w:rsidP="0063563E">
      <w:pPr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Сотрудники Комитета по лицензированию </w:t>
      </w:r>
      <w:r w:rsidR="0063563E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</w:t>
      </w:r>
      <w:r w:rsidR="002B7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3563E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</w:t>
      </w:r>
      <w:r w:rsidR="0063563E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яли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участие:</w:t>
      </w:r>
    </w:p>
    <w:p w:rsidR="00796BAD" w:rsidRPr="008F29F6" w:rsidRDefault="00796BAD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2B7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совместн</w:t>
      </w:r>
      <w:r w:rsidR="002B7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рейдов</w:t>
      </w:r>
      <w:r w:rsidR="002B7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 мероприятии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линейным отделом на транспорте МВД России по Томской области по  проверкам пунктов приема лома и отходов черных и цветных металлов на территории  Томской области;</w:t>
      </w:r>
    </w:p>
    <w:p w:rsidR="00796BAD" w:rsidRPr="008F29F6" w:rsidRDefault="00796BAD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 работе ежегодного  совещания  по вопросам осуществления контрольно-надзорных функций </w:t>
      </w:r>
      <w:r w:rsidR="008F29F6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отношении 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организаций, осуществляющих деятельность по заготовке, хранению, переработке и реализации лома черных металлов, цветны</w:t>
      </w:r>
      <w:r w:rsidR="008F29F6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металлов,  проводимого  У</w:t>
      </w:r>
      <w:r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правлением по борьбе с экономическими преступлениями и коррупцией  Управления МВД России по Томской области.</w:t>
      </w:r>
    </w:p>
    <w:p w:rsidR="00796BAD" w:rsidRPr="003D7119" w:rsidRDefault="00830206" w:rsidP="00DA7A40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осуществлении контрольной деятельности Комитет по лицензированию осуществляет взаимодействие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средствами массовой информации.  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Сотрудники Комитета по лицензированию предоставляют информацию по итогам проведенных проверок, по в</w:t>
      </w:r>
      <w:r w:rsidR="00A67537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</w:t>
      </w:r>
      <w:r w:rsidR="00A67537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профилактики правонарушений в сфере 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заготовки, хранения, переработки</w:t>
      </w:r>
      <w:r w:rsidR="00A67537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реализации лома черных металлов, цветных металлов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областные и районные газеты, принимают участие в </w:t>
      </w:r>
      <w:r w:rsidR="00A67537" w:rsidRPr="008F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информационных передачах радио и телевидения</w:t>
      </w:r>
      <w:r w:rsidR="00A67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E940E6" w:rsidRPr="0087145D" w:rsidRDefault="005D28A4" w:rsidP="00D6384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III</w:t>
      </w:r>
      <w:r w:rsidRPr="008714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D6384F" w:rsidRPr="0087145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Меры, которые следует предпринять юридическим лицам и индивидуальным предпринимателям в целях недопущения нарушений лицензионных требований</w:t>
      </w:r>
    </w:p>
    <w:p w:rsidR="00E940E6" w:rsidRPr="0087145D" w:rsidRDefault="00E940E6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D28A4" w:rsidRPr="0087145D" w:rsidRDefault="005D28A4" w:rsidP="005D28A4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D28A4" w:rsidRPr="0087145D" w:rsidRDefault="005D28A4" w:rsidP="00D6384F">
      <w:pPr>
        <w:spacing w:after="0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87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избежание нарушений лицензионных требований </w:t>
      </w:r>
      <w:r w:rsidRPr="0087145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следует:</w:t>
      </w:r>
    </w:p>
    <w:p w:rsidR="00E940E6" w:rsidRPr="0087145D" w:rsidRDefault="00D6384F" w:rsidP="008714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регулярно проводить мониторинг законодательства</w:t>
      </w:r>
      <w:r w:rsidR="0087145D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регулирующего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сферу оборота лома черных и цветных металлов (далее – законодательство)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7145D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7145D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оевременно знакомиться 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изменениями, внесенн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ыми в нормативные правовые акты;</w:t>
      </w:r>
    </w:p>
    <w:p w:rsidR="00E940E6" w:rsidRPr="0087145D" w:rsidRDefault="00D6384F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разъяснительную работу с сотрудниками предприятий, с целью 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недопущения нарушения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законодательства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940E6" w:rsidRPr="0087145D" w:rsidRDefault="00D6384F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силить контроль со стороны руководителей организаций, за исполнением должно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стных обязанностей сотрудниками;</w:t>
      </w:r>
    </w:p>
    <w:p w:rsidR="00E940E6" w:rsidRPr="0087145D" w:rsidRDefault="00D6384F" w:rsidP="00E660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 подготовке документов руководствоваться требованиями, пре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дусмотренными законодательством,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также информацией, размещенной Комитетом 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лицензированию на официальном сайте органа </w:t>
      </w:r>
      <w:hyperlink r:id="rId15" w:history="1"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kl</w:t>
        </w:r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tomsk</w:t>
        </w:r>
        <w:proofErr w:type="spellEnd"/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8714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6384F" w:rsidRPr="0087145D" w:rsidRDefault="00D6384F" w:rsidP="00E660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допускать нарушения обязательных требований, установленных Правилами обращения с ломом и отходами черных металлов и их отчуждения, Правил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обращения с ломом и отходами ц</w:t>
      </w:r>
      <w:r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ветных металлов и их отчуждения.</w:t>
      </w:r>
      <w:r w:rsidR="00E940E6" w:rsidRPr="00871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72EC6" w:rsidRPr="0087145D" w:rsidRDefault="00172EC6" w:rsidP="00E660FE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2B70C3" w:rsidRDefault="002B70C3" w:rsidP="00E660FE">
      <w:pPr>
        <w:pStyle w:val="ab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72EC6" w:rsidRPr="0087145D" w:rsidRDefault="0087145D" w:rsidP="00E660FE">
      <w:pPr>
        <w:pStyle w:val="ab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145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IV</w:t>
      </w:r>
      <w:r w:rsidRPr="00871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172EC6" w:rsidRPr="00871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Профилактика нарушений законодательства в сфере </w:t>
      </w:r>
      <w:r w:rsidRPr="00871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заготовки, хранения, переработки</w:t>
      </w:r>
      <w:r w:rsidR="00172EC6" w:rsidRPr="00871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реализации лома черных металлов, цветных металлов</w:t>
      </w:r>
    </w:p>
    <w:p w:rsidR="00172EC6" w:rsidRPr="003D7119" w:rsidRDefault="00172EC6" w:rsidP="00E660FE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47334" w:rsidRPr="00A5370E" w:rsidRDefault="00447334" w:rsidP="00447334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A5370E">
        <w:rPr>
          <w:color w:val="000000" w:themeColor="text1"/>
          <w:sz w:val="28"/>
          <w:szCs w:val="28"/>
        </w:rPr>
        <w:t xml:space="preserve">Федеральным законом от 3 июля 2016 года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 установлен ряд новых законодательных положений, регулирующих осуществление профилактических мероприятий при осуществлении государственного контроля (надзора), муниципального контроля. </w:t>
      </w:r>
      <w:proofErr w:type="gramEnd"/>
    </w:p>
    <w:p w:rsidR="00447334" w:rsidRPr="00A5370E" w:rsidRDefault="00447334" w:rsidP="00447334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A5370E">
        <w:rPr>
          <w:color w:val="000000" w:themeColor="text1"/>
          <w:sz w:val="28"/>
          <w:szCs w:val="28"/>
        </w:rPr>
        <w:t xml:space="preserve">Организация и проведение мероприятий по профилактике нарушений обязательных требований включена в понятие государственного контроля (надзора), содержащееся в статье 2 Федерального закона от 26 декабря 2008 года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Указанные изменения выводят профилактическую работу на одно из первых мест при осуществлении контрольно-надзорной деятельности. </w:t>
      </w:r>
    </w:p>
    <w:p w:rsidR="00447334" w:rsidRPr="00A5370E" w:rsidRDefault="00447334" w:rsidP="00447334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A5370E">
        <w:rPr>
          <w:color w:val="000000" w:themeColor="text1"/>
          <w:sz w:val="28"/>
          <w:szCs w:val="28"/>
        </w:rPr>
        <w:t>Комитетом по лицензированию проводятся следующие мероприятия по профилактике нарушений</w:t>
      </w:r>
      <w:r w:rsidRPr="00A5370E">
        <w:rPr>
          <w:color w:val="000000" w:themeColor="text1"/>
        </w:rPr>
        <w:t xml:space="preserve"> </w:t>
      </w:r>
      <w:r w:rsidRPr="00A5370E">
        <w:rPr>
          <w:color w:val="000000" w:themeColor="text1"/>
          <w:sz w:val="28"/>
          <w:szCs w:val="28"/>
        </w:rPr>
        <w:t>законодательства в сфере</w:t>
      </w:r>
      <w:r w:rsidR="000C14FA" w:rsidRPr="000C14FA">
        <w:rPr>
          <w:rFonts w:eastAsia="Calibri"/>
          <w:color w:val="000000" w:themeColor="text1"/>
          <w:sz w:val="28"/>
          <w:szCs w:val="28"/>
          <w:lang w:eastAsia="ru-RU"/>
        </w:rPr>
        <w:t xml:space="preserve"> </w:t>
      </w:r>
      <w:r w:rsidR="000C14FA">
        <w:rPr>
          <w:rFonts w:eastAsia="Calibri"/>
          <w:color w:val="000000" w:themeColor="text1"/>
          <w:sz w:val="28"/>
          <w:szCs w:val="28"/>
          <w:lang w:eastAsia="ru-RU"/>
        </w:rPr>
        <w:t>заготовки</w:t>
      </w:r>
      <w:r w:rsidR="000C14FA" w:rsidRPr="0063563E">
        <w:rPr>
          <w:rFonts w:eastAsia="Calibri"/>
          <w:color w:val="000000" w:themeColor="text1"/>
          <w:sz w:val="28"/>
          <w:szCs w:val="28"/>
          <w:lang w:eastAsia="ru-RU"/>
        </w:rPr>
        <w:t>, хранени</w:t>
      </w:r>
      <w:r w:rsidR="000C14FA">
        <w:rPr>
          <w:rFonts w:eastAsia="Calibri"/>
          <w:color w:val="000000" w:themeColor="text1"/>
          <w:sz w:val="28"/>
          <w:szCs w:val="28"/>
          <w:lang w:eastAsia="ru-RU"/>
        </w:rPr>
        <w:t>я,  переработки</w:t>
      </w:r>
      <w:r w:rsidR="000C14FA" w:rsidRPr="0063563E">
        <w:rPr>
          <w:rFonts w:eastAsia="Calibri"/>
          <w:color w:val="000000" w:themeColor="text1"/>
          <w:sz w:val="28"/>
          <w:szCs w:val="28"/>
          <w:lang w:eastAsia="ru-RU"/>
        </w:rPr>
        <w:t xml:space="preserve"> и реализации лома черных металлов, цветных  металлов</w:t>
      </w:r>
      <w:r w:rsidRPr="00A5370E">
        <w:rPr>
          <w:color w:val="000000" w:themeColor="text1"/>
          <w:sz w:val="28"/>
          <w:szCs w:val="28"/>
        </w:rPr>
        <w:t xml:space="preserve">: </w:t>
      </w:r>
    </w:p>
    <w:p w:rsidR="00447334" w:rsidRPr="000C14FA" w:rsidRDefault="00447334" w:rsidP="00447334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0C14FA">
        <w:rPr>
          <w:color w:val="000000" w:themeColor="text1"/>
          <w:sz w:val="28"/>
          <w:szCs w:val="28"/>
        </w:rPr>
        <w:t xml:space="preserve">1.  Разработана программа профилактики нарушений законодательства в сфере </w:t>
      </w:r>
      <w:r w:rsidR="000C14FA" w:rsidRPr="000C14FA">
        <w:rPr>
          <w:rFonts w:eastAsia="Calibri"/>
          <w:color w:val="000000" w:themeColor="text1"/>
          <w:sz w:val="28"/>
          <w:szCs w:val="28"/>
          <w:lang w:eastAsia="ru-RU"/>
        </w:rPr>
        <w:t>заготовки, хранения,  переработки и реализации лома черных металлов, цветных  металлов</w:t>
      </w:r>
      <w:r w:rsidR="000C14FA" w:rsidRPr="000C14FA">
        <w:rPr>
          <w:color w:val="000000" w:themeColor="text1"/>
          <w:sz w:val="28"/>
          <w:szCs w:val="28"/>
        </w:rPr>
        <w:t xml:space="preserve"> </w:t>
      </w:r>
      <w:r w:rsidRPr="000C14FA">
        <w:rPr>
          <w:color w:val="000000" w:themeColor="text1"/>
          <w:sz w:val="28"/>
          <w:szCs w:val="28"/>
        </w:rPr>
        <w:t>на 201</w:t>
      </w:r>
      <w:r w:rsidR="002B70C3">
        <w:rPr>
          <w:color w:val="000000" w:themeColor="text1"/>
          <w:sz w:val="28"/>
          <w:szCs w:val="28"/>
        </w:rPr>
        <w:t>8</w:t>
      </w:r>
      <w:r w:rsidRPr="000C14FA">
        <w:rPr>
          <w:color w:val="000000" w:themeColor="text1"/>
          <w:sz w:val="28"/>
          <w:szCs w:val="28"/>
        </w:rPr>
        <w:t xml:space="preserve"> год (утверждена Распоряжением Комитета по лицензированию от </w:t>
      </w:r>
      <w:r w:rsidR="002B70C3">
        <w:rPr>
          <w:color w:val="000000" w:themeColor="text1"/>
          <w:sz w:val="28"/>
          <w:szCs w:val="28"/>
        </w:rPr>
        <w:t>26.02.2018 №31</w:t>
      </w:r>
      <w:r w:rsidRPr="000C14FA">
        <w:rPr>
          <w:color w:val="000000" w:themeColor="text1"/>
          <w:sz w:val="28"/>
          <w:szCs w:val="28"/>
        </w:rPr>
        <w:t xml:space="preserve">). </w:t>
      </w:r>
    </w:p>
    <w:p w:rsidR="00447334" w:rsidRPr="000C14FA" w:rsidRDefault="00447334" w:rsidP="00447334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0C14FA">
        <w:rPr>
          <w:color w:val="000000" w:themeColor="text1"/>
          <w:sz w:val="28"/>
          <w:szCs w:val="28"/>
        </w:rPr>
        <w:t>2. Разработан и размещен на официальном сайте в информационно-телекоммуникационной сети «Интернет» перечень нормативных правовых актов, содержащих обязательные требования, оценка соблюдения которых является предметом</w:t>
      </w:r>
      <w:r w:rsidR="000C14FA" w:rsidRPr="000C14FA">
        <w:rPr>
          <w:color w:val="000000" w:themeColor="text1"/>
          <w:sz w:val="28"/>
          <w:szCs w:val="28"/>
        </w:rPr>
        <w:t xml:space="preserve"> лицензионного контроля</w:t>
      </w:r>
      <w:r w:rsidRPr="000C14FA">
        <w:rPr>
          <w:color w:val="000000" w:themeColor="text1"/>
          <w:sz w:val="28"/>
          <w:szCs w:val="28"/>
        </w:rPr>
        <w:t>, а также текстов соответствующих нормативных правовых актов.</w:t>
      </w:r>
    </w:p>
    <w:p w:rsidR="00447334" w:rsidRPr="000C14FA" w:rsidRDefault="00447334" w:rsidP="000C14F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0C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регулярное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 на официальном сайте Комитета по лицензированию, проведения семинаров в рамках проведения «Дня Комитета по лицензированию Томской области» в муниципальных образованиях Томской области, проведения разъяснительной работы в средствах массовой информации и на телевидении.  </w:t>
      </w:r>
      <w:proofErr w:type="gramEnd"/>
    </w:p>
    <w:p w:rsidR="00E940E6" w:rsidRPr="000C14FA" w:rsidRDefault="00833869" w:rsidP="00E660F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0C14FA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В текущем рабочем режиме проводится </w:t>
      </w:r>
      <w:r w:rsidR="00E940E6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ежедневное консультирование юридических лиц и индивидуальных предпринимателей по вопросам, связанным с осуществлением </w:t>
      </w:r>
      <w:r w:rsidR="000C14FA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заготовки, хранения,  переработки и реализации лома черных металлов, цветных  металлов,</w:t>
      </w:r>
      <w:r w:rsidR="000C14FA" w:rsidRPr="000C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4A56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</w:t>
      </w:r>
      <w:r w:rsidR="00B96DDF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телефону, при личном общении (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2018</w:t>
      </w:r>
      <w:r w:rsidR="008C4A56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проведено13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8C4A56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консультаций)</w:t>
      </w:r>
      <w:r w:rsidR="000C14FA"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F18CC" w:rsidRPr="003D7119" w:rsidRDefault="00CF18CC" w:rsidP="00E660FE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940E6" w:rsidRPr="00AC4E41" w:rsidRDefault="000C14FA" w:rsidP="000C14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C4E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V</w:t>
      </w:r>
      <w:r w:rsidRPr="00AC4E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E940E6" w:rsidRPr="00AC4E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Выводы и предложения</w:t>
      </w:r>
    </w:p>
    <w:p w:rsidR="00E940E6" w:rsidRPr="00AC4E41" w:rsidRDefault="000473FD" w:rsidP="000C14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C4E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по результатам  лицензионного </w:t>
      </w:r>
      <w:r w:rsidR="00E940E6" w:rsidRPr="00AC4E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контроля </w:t>
      </w:r>
    </w:p>
    <w:p w:rsidR="000C14FA" w:rsidRPr="00AC4E41" w:rsidRDefault="000C14FA" w:rsidP="000C14FA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940E6" w:rsidRPr="00AC4E41" w:rsidRDefault="000473FD" w:rsidP="00E660F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целом, лицензионный </w:t>
      </w:r>
      <w:r w:rsidR="00E940E6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контроль в сфере заготовки, хранения, переработки и реализации лома черных металлов, цветных металлов на территории Томской  области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имеет положительные результаты: в течение 2013 – 2018 годов заметна стабилизация рынка 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оборота 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лома металлов.</w:t>
      </w:r>
      <w:r w:rsidR="00E940E6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25796A" w:rsidRPr="00AC4E41" w:rsidRDefault="00E940E6" w:rsidP="00E660F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Задачей Комитета по лицензированию 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кроме пресечения правонарушений в сфере заготовки, хранения, переработки и реализации лома черных металлов, цветных металлов 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недопущение указанных 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правонарушений 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посредством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повышения качества 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профилактической 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работы</w:t>
      </w:r>
      <w:r w:rsidR="00AC4E41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6690B" w:rsidRPr="00AC4E4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проведении проверок обеспечена открытость и полнота сведений о порядке и сроках лицензионного  контроля. </w:t>
      </w:r>
    </w:p>
    <w:sectPr w:rsidR="0025796A" w:rsidRPr="00AC4E41" w:rsidSect="003443D3">
      <w:headerReference w:type="default" r:id="rId16"/>
      <w:headerReference w:type="first" r:id="rId17"/>
      <w:type w:val="continuous"/>
      <w:pgSz w:w="11906" w:h="16838" w:code="9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05D" w:rsidRDefault="00EF405D" w:rsidP="007F2108">
      <w:pPr>
        <w:spacing w:after="0" w:line="240" w:lineRule="auto"/>
      </w:pPr>
      <w:r>
        <w:separator/>
      </w:r>
    </w:p>
  </w:endnote>
  <w:endnote w:type="continuationSeparator" w:id="0">
    <w:p w:rsidR="00EF405D" w:rsidRDefault="00EF405D" w:rsidP="007F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05D" w:rsidRDefault="00EF405D" w:rsidP="007F2108">
      <w:pPr>
        <w:spacing w:after="0" w:line="240" w:lineRule="auto"/>
      </w:pPr>
      <w:r>
        <w:separator/>
      </w:r>
    </w:p>
  </w:footnote>
  <w:footnote w:type="continuationSeparator" w:id="0">
    <w:p w:rsidR="00EF405D" w:rsidRDefault="00EF405D" w:rsidP="007F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060168"/>
      <w:docPartObj>
        <w:docPartGallery w:val="Page Numbers (Top of Page)"/>
        <w:docPartUnique/>
      </w:docPartObj>
    </w:sdtPr>
    <w:sdtEndPr/>
    <w:sdtContent>
      <w:p w:rsidR="00C25EF7" w:rsidRDefault="00C25EF7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E0B">
          <w:rPr>
            <w:noProof/>
          </w:rPr>
          <w:t>5</w:t>
        </w:r>
        <w:r>
          <w:fldChar w:fldCharType="end"/>
        </w:r>
      </w:p>
    </w:sdtContent>
  </w:sdt>
  <w:p w:rsidR="00C25EF7" w:rsidRDefault="00C25EF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F7" w:rsidRDefault="00C25EF7" w:rsidP="007F2108">
    <w:pPr>
      <w:pStyle w:val="af5"/>
      <w:jc w:val="center"/>
    </w:pPr>
  </w:p>
  <w:p w:rsidR="00C25EF7" w:rsidRDefault="00C25EF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FF7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3531B8B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53D20D2"/>
    <w:multiLevelType w:val="hybridMultilevel"/>
    <w:tmpl w:val="A3CC4238"/>
    <w:lvl w:ilvl="0" w:tplc="A9FEEA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815683"/>
    <w:multiLevelType w:val="hybridMultilevel"/>
    <w:tmpl w:val="E01AE4A0"/>
    <w:lvl w:ilvl="0" w:tplc="66BCDA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4A3476"/>
    <w:multiLevelType w:val="hybridMultilevel"/>
    <w:tmpl w:val="AF6A0D5E"/>
    <w:lvl w:ilvl="0" w:tplc="E3445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E85A65"/>
    <w:multiLevelType w:val="hybridMultilevel"/>
    <w:tmpl w:val="18AA8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A720D7"/>
    <w:multiLevelType w:val="hybridMultilevel"/>
    <w:tmpl w:val="0B8412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1E95532"/>
    <w:multiLevelType w:val="hybridMultilevel"/>
    <w:tmpl w:val="686EA9E6"/>
    <w:lvl w:ilvl="0" w:tplc="06B80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121904"/>
    <w:multiLevelType w:val="hybridMultilevel"/>
    <w:tmpl w:val="3B28CBDE"/>
    <w:lvl w:ilvl="0" w:tplc="07A48E64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7C470C3A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08"/>
    <w:rsid w:val="00002F77"/>
    <w:rsid w:val="00012277"/>
    <w:rsid w:val="000473FD"/>
    <w:rsid w:val="00051217"/>
    <w:rsid w:val="00054A3D"/>
    <w:rsid w:val="00054A62"/>
    <w:rsid w:val="00073857"/>
    <w:rsid w:val="00085B1C"/>
    <w:rsid w:val="00086045"/>
    <w:rsid w:val="000A0A3A"/>
    <w:rsid w:val="000C14FA"/>
    <w:rsid w:val="000C4690"/>
    <w:rsid w:val="000D1F84"/>
    <w:rsid w:val="000D43B7"/>
    <w:rsid w:val="000E02FF"/>
    <w:rsid w:val="000E0C39"/>
    <w:rsid w:val="00115082"/>
    <w:rsid w:val="00131C13"/>
    <w:rsid w:val="00135E89"/>
    <w:rsid w:val="001368BA"/>
    <w:rsid w:val="001375C8"/>
    <w:rsid w:val="0016690B"/>
    <w:rsid w:val="00172C25"/>
    <w:rsid w:val="00172EC6"/>
    <w:rsid w:val="001852B8"/>
    <w:rsid w:val="001A0741"/>
    <w:rsid w:val="001A0C96"/>
    <w:rsid w:val="001A47AD"/>
    <w:rsid w:val="001A4E18"/>
    <w:rsid w:val="001B2410"/>
    <w:rsid w:val="001C65A6"/>
    <w:rsid w:val="001E223C"/>
    <w:rsid w:val="001F5276"/>
    <w:rsid w:val="00223E27"/>
    <w:rsid w:val="0023209C"/>
    <w:rsid w:val="00234752"/>
    <w:rsid w:val="00242810"/>
    <w:rsid w:val="00253133"/>
    <w:rsid w:val="002557C0"/>
    <w:rsid w:val="0025796A"/>
    <w:rsid w:val="00277013"/>
    <w:rsid w:val="00280A55"/>
    <w:rsid w:val="00287455"/>
    <w:rsid w:val="00290184"/>
    <w:rsid w:val="002B579D"/>
    <w:rsid w:val="002B6360"/>
    <w:rsid w:val="002B70C3"/>
    <w:rsid w:val="002D5BA8"/>
    <w:rsid w:val="002E0B76"/>
    <w:rsid w:val="002E264C"/>
    <w:rsid w:val="002E343B"/>
    <w:rsid w:val="002E3C23"/>
    <w:rsid w:val="002F0CC3"/>
    <w:rsid w:val="002F1898"/>
    <w:rsid w:val="003039F2"/>
    <w:rsid w:val="003106C5"/>
    <w:rsid w:val="00311C90"/>
    <w:rsid w:val="00314008"/>
    <w:rsid w:val="00315DA6"/>
    <w:rsid w:val="00335077"/>
    <w:rsid w:val="00340A12"/>
    <w:rsid w:val="00343C0D"/>
    <w:rsid w:val="003443D3"/>
    <w:rsid w:val="003515FD"/>
    <w:rsid w:val="00355513"/>
    <w:rsid w:val="00371E0B"/>
    <w:rsid w:val="00373EB2"/>
    <w:rsid w:val="00390522"/>
    <w:rsid w:val="0039129E"/>
    <w:rsid w:val="003A7760"/>
    <w:rsid w:val="003B0844"/>
    <w:rsid w:val="003D7119"/>
    <w:rsid w:val="003E5605"/>
    <w:rsid w:val="00400AC7"/>
    <w:rsid w:val="00407F64"/>
    <w:rsid w:val="0042342F"/>
    <w:rsid w:val="004464DD"/>
    <w:rsid w:val="00447334"/>
    <w:rsid w:val="0045648D"/>
    <w:rsid w:val="0046438B"/>
    <w:rsid w:val="00464F1F"/>
    <w:rsid w:val="00466F2C"/>
    <w:rsid w:val="00471840"/>
    <w:rsid w:val="00493E95"/>
    <w:rsid w:val="00494A29"/>
    <w:rsid w:val="004A2187"/>
    <w:rsid w:val="004C7322"/>
    <w:rsid w:val="004D2CDA"/>
    <w:rsid w:val="004F1F87"/>
    <w:rsid w:val="004F70D3"/>
    <w:rsid w:val="00527A5F"/>
    <w:rsid w:val="005301E7"/>
    <w:rsid w:val="0055129C"/>
    <w:rsid w:val="00553A03"/>
    <w:rsid w:val="00553E43"/>
    <w:rsid w:val="005543EB"/>
    <w:rsid w:val="005571EF"/>
    <w:rsid w:val="0056493A"/>
    <w:rsid w:val="00567AB8"/>
    <w:rsid w:val="005B0A0E"/>
    <w:rsid w:val="005B1AE0"/>
    <w:rsid w:val="005D28A4"/>
    <w:rsid w:val="005E02B0"/>
    <w:rsid w:val="005F2D3C"/>
    <w:rsid w:val="00602D22"/>
    <w:rsid w:val="0060679F"/>
    <w:rsid w:val="00607BFA"/>
    <w:rsid w:val="0061279D"/>
    <w:rsid w:val="00625461"/>
    <w:rsid w:val="0063563E"/>
    <w:rsid w:val="00660163"/>
    <w:rsid w:val="006620EA"/>
    <w:rsid w:val="006816ED"/>
    <w:rsid w:val="00690C0C"/>
    <w:rsid w:val="00692395"/>
    <w:rsid w:val="0069622C"/>
    <w:rsid w:val="00696921"/>
    <w:rsid w:val="006A30AE"/>
    <w:rsid w:val="006B213C"/>
    <w:rsid w:val="006C6CA0"/>
    <w:rsid w:val="006F3E14"/>
    <w:rsid w:val="006F4635"/>
    <w:rsid w:val="00710C3C"/>
    <w:rsid w:val="007115CB"/>
    <w:rsid w:val="00720B79"/>
    <w:rsid w:val="00725049"/>
    <w:rsid w:val="00733C74"/>
    <w:rsid w:val="00737B41"/>
    <w:rsid w:val="007424F5"/>
    <w:rsid w:val="00744FC0"/>
    <w:rsid w:val="007463E8"/>
    <w:rsid w:val="007643E4"/>
    <w:rsid w:val="007654EC"/>
    <w:rsid w:val="00767327"/>
    <w:rsid w:val="00771004"/>
    <w:rsid w:val="0078025D"/>
    <w:rsid w:val="0079405E"/>
    <w:rsid w:val="00796BAD"/>
    <w:rsid w:val="007A2C3E"/>
    <w:rsid w:val="007C467F"/>
    <w:rsid w:val="007E2469"/>
    <w:rsid w:val="007E6D47"/>
    <w:rsid w:val="007F2108"/>
    <w:rsid w:val="007F305A"/>
    <w:rsid w:val="00800532"/>
    <w:rsid w:val="00830206"/>
    <w:rsid w:val="00831B00"/>
    <w:rsid w:val="00833869"/>
    <w:rsid w:val="00860AB9"/>
    <w:rsid w:val="008614CB"/>
    <w:rsid w:val="00866B67"/>
    <w:rsid w:val="0087145D"/>
    <w:rsid w:val="00883237"/>
    <w:rsid w:val="00897BDC"/>
    <w:rsid w:val="008A0F7D"/>
    <w:rsid w:val="008A18D6"/>
    <w:rsid w:val="008A28F5"/>
    <w:rsid w:val="008A713A"/>
    <w:rsid w:val="008A75CD"/>
    <w:rsid w:val="008B0A53"/>
    <w:rsid w:val="008C427A"/>
    <w:rsid w:val="008C4A56"/>
    <w:rsid w:val="008C4ADA"/>
    <w:rsid w:val="008E449C"/>
    <w:rsid w:val="008F29F6"/>
    <w:rsid w:val="008F5A78"/>
    <w:rsid w:val="00910296"/>
    <w:rsid w:val="00915E2B"/>
    <w:rsid w:val="00921D41"/>
    <w:rsid w:val="00956946"/>
    <w:rsid w:val="009640D0"/>
    <w:rsid w:val="00964D0F"/>
    <w:rsid w:val="00966F11"/>
    <w:rsid w:val="009702F7"/>
    <w:rsid w:val="00987731"/>
    <w:rsid w:val="00991680"/>
    <w:rsid w:val="00992D13"/>
    <w:rsid w:val="00994709"/>
    <w:rsid w:val="009977D2"/>
    <w:rsid w:val="009A4E85"/>
    <w:rsid w:val="009B2EE3"/>
    <w:rsid w:val="009B36C3"/>
    <w:rsid w:val="009B7092"/>
    <w:rsid w:val="009D50E2"/>
    <w:rsid w:val="009D6BCF"/>
    <w:rsid w:val="009E34B1"/>
    <w:rsid w:val="009F2E69"/>
    <w:rsid w:val="00A05FB6"/>
    <w:rsid w:val="00A06658"/>
    <w:rsid w:val="00A21E6F"/>
    <w:rsid w:val="00A26F78"/>
    <w:rsid w:val="00A44724"/>
    <w:rsid w:val="00A5370E"/>
    <w:rsid w:val="00A656AA"/>
    <w:rsid w:val="00A67537"/>
    <w:rsid w:val="00A72DE7"/>
    <w:rsid w:val="00A76A7E"/>
    <w:rsid w:val="00A77D73"/>
    <w:rsid w:val="00A86CF6"/>
    <w:rsid w:val="00A902CF"/>
    <w:rsid w:val="00A92618"/>
    <w:rsid w:val="00AA1804"/>
    <w:rsid w:val="00AC4E41"/>
    <w:rsid w:val="00AC61E2"/>
    <w:rsid w:val="00AC694B"/>
    <w:rsid w:val="00AD4BE4"/>
    <w:rsid w:val="00AE3D98"/>
    <w:rsid w:val="00AE4B74"/>
    <w:rsid w:val="00B001B5"/>
    <w:rsid w:val="00B04621"/>
    <w:rsid w:val="00B124B3"/>
    <w:rsid w:val="00B26824"/>
    <w:rsid w:val="00B27028"/>
    <w:rsid w:val="00B50BA4"/>
    <w:rsid w:val="00B52EF1"/>
    <w:rsid w:val="00B54A32"/>
    <w:rsid w:val="00B55EE2"/>
    <w:rsid w:val="00B7301F"/>
    <w:rsid w:val="00B734F6"/>
    <w:rsid w:val="00B769F5"/>
    <w:rsid w:val="00B815FF"/>
    <w:rsid w:val="00B839AE"/>
    <w:rsid w:val="00B8591C"/>
    <w:rsid w:val="00B9518C"/>
    <w:rsid w:val="00B96DDF"/>
    <w:rsid w:val="00BC27F3"/>
    <w:rsid w:val="00BC5145"/>
    <w:rsid w:val="00BF7E98"/>
    <w:rsid w:val="00C041A4"/>
    <w:rsid w:val="00C04CD1"/>
    <w:rsid w:val="00C06D2E"/>
    <w:rsid w:val="00C15013"/>
    <w:rsid w:val="00C2136F"/>
    <w:rsid w:val="00C25EF7"/>
    <w:rsid w:val="00C3147C"/>
    <w:rsid w:val="00C46225"/>
    <w:rsid w:val="00C47615"/>
    <w:rsid w:val="00C5403B"/>
    <w:rsid w:val="00C83F13"/>
    <w:rsid w:val="00C840EA"/>
    <w:rsid w:val="00CA2623"/>
    <w:rsid w:val="00CA6EFB"/>
    <w:rsid w:val="00CA74CD"/>
    <w:rsid w:val="00CB507D"/>
    <w:rsid w:val="00CC4FB2"/>
    <w:rsid w:val="00CC7998"/>
    <w:rsid w:val="00CD4BB2"/>
    <w:rsid w:val="00CF166D"/>
    <w:rsid w:val="00CF18CC"/>
    <w:rsid w:val="00D01639"/>
    <w:rsid w:val="00D03E0B"/>
    <w:rsid w:val="00D15965"/>
    <w:rsid w:val="00D22143"/>
    <w:rsid w:val="00D244EA"/>
    <w:rsid w:val="00D57374"/>
    <w:rsid w:val="00D6384F"/>
    <w:rsid w:val="00D65A03"/>
    <w:rsid w:val="00D76B30"/>
    <w:rsid w:val="00D86930"/>
    <w:rsid w:val="00DA7A40"/>
    <w:rsid w:val="00DC3208"/>
    <w:rsid w:val="00DC7A2D"/>
    <w:rsid w:val="00DD78BA"/>
    <w:rsid w:val="00DE028B"/>
    <w:rsid w:val="00DE52AF"/>
    <w:rsid w:val="00DE59F8"/>
    <w:rsid w:val="00DE61DB"/>
    <w:rsid w:val="00DF0B41"/>
    <w:rsid w:val="00DF47B6"/>
    <w:rsid w:val="00E0091F"/>
    <w:rsid w:val="00E16D90"/>
    <w:rsid w:val="00E23FB8"/>
    <w:rsid w:val="00E27FF0"/>
    <w:rsid w:val="00E35C84"/>
    <w:rsid w:val="00E63935"/>
    <w:rsid w:val="00E660FE"/>
    <w:rsid w:val="00E729D5"/>
    <w:rsid w:val="00E75901"/>
    <w:rsid w:val="00E810B9"/>
    <w:rsid w:val="00E9391A"/>
    <w:rsid w:val="00E940E6"/>
    <w:rsid w:val="00E96399"/>
    <w:rsid w:val="00EB740D"/>
    <w:rsid w:val="00EC05EC"/>
    <w:rsid w:val="00EC75D1"/>
    <w:rsid w:val="00ED169C"/>
    <w:rsid w:val="00ED5AEF"/>
    <w:rsid w:val="00EF405D"/>
    <w:rsid w:val="00F0149E"/>
    <w:rsid w:val="00F276B7"/>
    <w:rsid w:val="00F4794A"/>
    <w:rsid w:val="00F53E5B"/>
    <w:rsid w:val="00F57052"/>
    <w:rsid w:val="00F64834"/>
    <w:rsid w:val="00F65027"/>
    <w:rsid w:val="00F65BEE"/>
    <w:rsid w:val="00F86366"/>
    <w:rsid w:val="00F910F9"/>
    <w:rsid w:val="00FB03BE"/>
    <w:rsid w:val="00FC3F00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1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23189">
                              <w:marLeft w:val="0"/>
                              <w:marRight w:val="3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56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2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8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57379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l.tomsk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l.tomsk.gov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l.tomsk.gov.ru/regulations/front/view/id/43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l.tomsk.gov.ru" TargetMode="External"/><Relationship Id="rId10" Type="http://schemas.openxmlformats.org/officeDocument/2006/relationships/hyperlink" Target="https://kl.tomsk.gov.ru/documents/front/view/id/1538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5D6A0C55616CEFD9489D26315A6078AFB3BCDA88C41948618BD332600276AD631E11764831661E1cDe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1722-148F-4164-8D3B-2EFC4094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Сидоренко</dc:creator>
  <cp:lastModifiedBy>Алексей Бродников</cp:lastModifiedBy>
  <cp:revision>3</cp:revision>
  <cp:lastPrinted>2018-02-13T06:32:00Z</cp:lastPrinted>
  <dcterms:created xsi:type="dcterms:W3CDTF">2019-09-10T03:30:00Z</dcterms:created>
  <dcterms:modified xsi:type="dcterms:W3CDTF">2019-09-10T03:42:00Z</dcterms:modified>
</cp:coreProperties>
</file>