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84"/>
              <w:contextualSpacing w:val="0"/>
              <w:ind w:right="0"/>
              <w:jc w:val="left"/>
              <w:spacing w:before="480" w:beforeAutospacing="0" w:after="0" w:line="240" w:lineRule="auto"/>
              <w:rPr>
                <w:rFonts w:ascii="PT Astra Serif" w:hAnsi="PT Astra Serif" w:cs="PT Astra Serif"/>
                <w:b w:val="0"/>
                <w:bCs w:val="0"/>
                <w:color w:val="000000"/>
                <w:spacing w:val="0"/>
                <w:sz w:val="26"/>
                <w:szCs w:val="26"/>
                <w:highlight w:val="lightGray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07.09.2026</w:t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84"/>
              <w:contextualSpacing w:val="0"/>
              <w:ind w:right="0"/>
              <w:jc w:val="righ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84"/>
              <w:contextualSpacing w:val="0"/>
              <w:ind w:right="0"/>
              <w:jc w:val="righ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558</w:t>
            </w:r>
            <w:r/>
          </w:p>
        </w:tc>
      </w:tr>
    </w:tbl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1"/>
        <w:contextualSpacing/>
        <w:jc w:val="center"/>
        <w:spacing w:before="0" w:after="0" w:line="240" w:lineRule="auto"/>
        <w:suppressLineNumbers w:val="0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О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б утверждении формы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проверочного листа, применяемого Департаментом ли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цензирования и регионального государственного контроля Томской области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при осуществлении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регионального государственного контроля (надзора) в сфере туристской индустрии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(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в части деятельности экскурсоводов (гидов),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/>
    </w:p>
    <w:p>
      <w:pPr>
        <w:pStyle w:val="891"/>
        <w:contextualSpacing/>
        <w:jc w:val="center"/>
        <w:spacing w:before="0" w:after="0" w:line="240" w:lineRule="auto"/>
        <w:suppressLineNumbers w:val="0"/>
      </w:pP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гидов-переводчиков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)</w:t>
      </w:r>
      <w:r/>
    </w:p>
    <w:p>
      <w:pPr>
        <w:pStyle w:val="891"/>
        <w:contextualSpacing/>
        <w:jc w:val="left"/>
        <w:spacing w:before="0" w:after="0" w:line="240" w:lineRule="auto"/>
        <w:suppressLineNumbers w:val="0"/>
      </w:pPr>
      <w:r/>
      <w:r/>
    </w:p>
    <w:p>
      <w:pPr>
        <w:contextualSpacing/>
        <w:ind w:firstLine="709"/>
        <w:jc w:val="both"/>
        <w:spacing w:before="0" w:after="0" w:line="240" w:lineRule="auto"/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соответствии с </w:t>
      </w:r>
      <w:r>
        <w:rPr>
          <w:rFonts w:ascii="PT Astra Serif" w:hAnsi="PT Astra Serif" w:cs="PT Astra Serif"/>
          <w:sz w:val="26"/>
          <w:szCs w:val="26"/>
        </w:rPr>
        <w:t xml:space="preserve">частью 1 статьи 53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Федерального закона от 31 июля 2020 года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№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248-ФЗ «О государственном контроле (надзоре) и муниципальном контроле в Российской Федерации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»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постановлением Правительства Российской Федерации     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от 27.10.2021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</w:t>
      </w:r>
      <w:r/>
    </w:p>
    <w:p>
      <w:pPr>
        <w:contextualSpacing/>
        <w:ind w:firstLine="709"/>
        <w:jc w:val="both"/>
        <w:spacing w:before="0" w:after="0" w:line="240" w:lineRule="auto"/>
        <w:widowControl w:val="off"/>
        <w:suppressLineNumbers w:val="0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ПРИКАЗЫВАЮ:</w:t>
      </w:r>
      <w:r/>
    </w:p>
    <w:p>
      <w:pPr>
        <w:pStyle w:val="891"/>
        <w:contextualSpacing/>
        <w:ind w:left="0" w:right="0" w:firstLine="709"/>
        <w:jc w:val="both"/>
        <w:spacing w:before="0" w:after="0" w:line="240" w:lineRule="auto"/>
        <w:suppressLineNumbers w:val="0"/>
      </w:pPr>
      <w:r/>
      <w:bookmarkStart w:id="0" w:name="undefined"/>
      <w:r/>
      <w:bookmarkEnd w:id="0"/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Утвердить </w:t>
      </w:r>
      <w:hyperlink r:id="rId12" w:tooltip="consultantplus://offline/ref=A25057387F30360D80CB3C7F741B35D31102C73BDBF9B1637516A9EECDAE96EB8D57D5F1E2C456B499185565A7B6AD9EF9CB4A1DB77C27B8SAw8F" w:history="1">
        <w:r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форму</w:t>
        </w:r>
      </w:hyperlink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проверочного листа, применяемого Департаментом ли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цензирования и регионального государственного контроля Томской области при осуществлении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регионального государственного контроля (надзора) в сфере туристской индустрии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(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в части деятельности экскурсоводов (гидов),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гидов-переводчиков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 согласно приложению к настоящему приказу.</w:t>
      </w:r>
      <w:r/>
    </w:p>
    <w:p>
      <w:pPr>
        <w:contextualSpacing/>
        <w:ind w:firstLine="709"/>
        <w:jc w:val="both"/>
        <w:spacing w:before="0" w:after="0" w:line="240" w:lineRule="auto"/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  <w:suppressLineNumbers w:val="0"/>
      </w:pP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2.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Контроль за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исполнением на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стоящего приказа возложить на председателя комитета регионального государственного контроля Департамента лицензирования и регионал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ьного государственного контроля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Томской области.</w:t>
      </w:r>
      <w:r/>
    </w:p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left"/>
        <w:tabs>
          <w:tab w:val="left" w:pos="7088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/>
    </w:p>
    <w:p>
      <w:pPr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br w:type="page" w:clear="all"/>
      </w:r>
      <w:r/>
    </w:p>
    <w:p>
      <w:pPr>
        <w:jc w:val="left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8"/>
          <w:headerReference w:type="first" r:id="rId9"/>
          <w:footnotePr/>
          <w:endnotePr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ind w:left="5669" w:right="0" w:firstLine="0"/>
        <w:jc w:val="left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УТВЕРЖДЕН</w:t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5669" w:right="0" w:firstLine="0"/>
        <w:jc w:val="left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приказом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лицензирования и регионального государственного контрол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/>
    </w:p>
    <w:p>
      <w:pPr>
        <w:contextualSpacing w:val="0"/>
        <w:ind w:left="5669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b w:val="0"/>
          <w:bCs w:val="0"/>
          <w:color w:val="000000"/>
          <w:spacing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07.09.2026</w:t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558</w:t>
        <w:fldChar w:fldCharType="end"/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ind w:left="0" w:right="0" w:firstLine="0"/>
        <w:tabs>
          <w:tab w:val="left" w:pos="7088" w:leader="none"/>
        </w:tabs>
      </w:pPr>
      <w:r>
        <w:rPr>
          <w:rFonts w:ascii="PT Astra Serif" w:hAnsi="PT Astra Serif" w:cs="PT Astra Serif"/>
          <w:sz w:val="24"/>
          <w:szCs w:val="24"/>
        </w:rPr>
        <w:t xml:space="preserve">Форма</w:t>
      </w:r>
      <w:r/>
    </w:p>
    <w:p>
      <w:pPr>
        <w:ind w:left="4392" w:right="-2"/>
        <w:jc w:val="right"/>
        <w:spacing w:line="219" w:lineRule="auto"/>
        <w:tabs>
          <w:tab w:val="left" w:pos="9354" w:leader="none"/>
        </w:tabs>
      </w:pPr>
      <w:r/>
      <w:r/>
    </w:p>
    <w:p>
      <w:pPr>
        <w:jc w:val="center"/>
        <w:shd w:val="clear" w:color="auto" w:fill="ffffff"/>
        <w:tabs>
          <w:tab w:val="left" w:pos="5626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Проверочный лист </w:t>
      </w:r>
      <w:r>
        <w:rPr>
          <w:rFonts w:ascii="PT Astra Serif" w:hAnsi="PT Astra Serif"/>
          <w:sz w:val="24"/>
          <w:szCs w:val="24"/>
        </w:rPr>
        <w:t xml:space="preserve">(список контрольных вопросов, ответы на которые свидетельствуют </w:t>
      </w:r>
      <w:r/>
    </w:p>
    <w:p>
      <w:pPr>
        <w:jc w:val="center"/>
        <w:shd w:val="clear" w:color="auto" w:fill="ffffff"/>
        <w:tabs>
          <w:tab w:val="left" w:pos="5626" w:leader="none"/>
        </w:tabs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о соблюдении или несоблюдении контролируемым лицом обязательных требований)</w:t>
      </w:r>
      <w:r>
        <w:rPr>
          <w:rFonts w:ascii="PT Astra Serif" w:hAnsi="PT Astra Serif"/>
          <w:color w:val="000000"/>
          <w:sz w:val="24"/>
          <w:szCs w:val="24"/>
        </w:rPr>
        <w:t xml:space="preserve">, 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применяемый Департаментом лицензирования и регионального государственного контроля Томской области при осуществлении 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регионального государственного контроля (надзора) </w:t>
      </w:r>
      <w:r/>
    </w:p>
    <w:p>
      <w:pPr>
        <w:jc w:val="center"/>
        <w:shd w:val="clear" w:color="auto" w:fill="ffffff"/>
        <w:tabs>
          <w:tab w:val="left" w:pos="5626" w:leader="none"/>
        </w:tabs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</w:pP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в сфере туристской индустрии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(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в части деятельности экскурсоводов (гидов),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 </w:t>
      </w:r>
      <w:r/>
    </w:p>
    <w:p>
      <w:pPr>
        <w:jc w:val="center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гидов-переводчиков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)</w:t>
      </w:r>
      <w:r/>
    </w:p>
    <w:p>
      <w:pPr>
        <w:jc w:val="center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164"/>
        <w:gridCol w:w="4535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164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color w:val="ff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ff0000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53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(QR-код, предусмотренный </w:t>
            </w:r>
            <w:hyperlink r:id="rId13" w:tooltip="consultantplus://offline/ref=70F4488748F88A69A5344FAA752C2719F9473A331C06774F493E0085F529C40A71877987AE263D9E1DCF5CF1FC036DE4AD1C0FD7D2H4C7D" w:history="1">
              <w:r>
                <w:rPr>
                  <w:rFonts w:ascii="PT Astra Serif" w:hAnsi="PT Astra Serif" w:cs="Arial"/>
                  <w:color w:val="000000" w:themeColor="text1"/>
                  <w:sz w:val="24"/>
                  <w:szCs w:val="24"/>
                  <w:lang w:eastAsia="en-US"/>
                </w:rPr>
                <w:t xml:space="preserve">постановлением</w:t>
              </w:r>
            </w:hyperlink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 Правительства Российской Федерации 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от 16.04.2021 </w:t>
            </w:r>
            <w:r/>
          </w:p>
          <w:p>
            <w:pP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№ 604 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</w:t>
            </w:r>
            <w:r/>
          </w:p>
          <w:p>
            <w:pPr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от 28 апреля 2015 г. № 415»)</w:t>
            </w:r>
            <w:r/>
          </w:p>
        </w:tc>
      </w:tr>
    </w:tbl>
    <w:p>
      <w:pPr>
        <w:jc w:val="center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center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Наименование вида контроля, </w:t>
      </w: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включенного в единый реестр видов федерального государственного контроля (надзора)</w:t>
      </w:r>
      <w:r>
        <w:rPr>
          <w:rFonts w:ascii="PT Astra Serif" w:hAnsi="PT Astra Serif"/>
          <w:sz w:val="24"/>
          <w:szCs w:val="24"/>
        </w:rPr>
        <w:t xml:space="preserve">: 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shd w:val="clear" w:color="auto" w:fill="ffffff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Региональный государственный контроль (надзора) в сфере туристской индустрии</w:t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Наименование контрольного (надзорного) органа: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лицензирования и регионального государственного контроля Томской области</w:t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Реквизиты правового акта об утверждении формы проверочного листа: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 контрольного (надзорного) мероприятия: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Учетный номер контрольного (надзорного) мероприятия: 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Дата заполнения проверочного листа: 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Наименование юридического лица, идентификационный номер налогоплательщика и основной государственный регистрационный номер, адрес юридического лица, являющегося контролируемым лицом:</w:t>
      </w:r>
      <w:r/>
    </w:p>
    <w:tbl>
      <w:tblPr>
        <w:tblW w:w="0" w:type="auto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 </w:t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или</w:t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Фамилия, имя и отчеств</w:t>
      </w:r>
      <w:r>
        <w:rPr>
          <w:rFonts w:ascii="PT Astra Serif" w:hAnsi="PT Astra Serif"/>
          <w:sz w:val="24"/>
          <w:szCs w:val="24"/>
        </w:rPr>
        <w:t xml:space="preserve">о (при наличии) индивидуального предпринимателя, идентификационный номер налогоплательщика и основной государственный регистрационный номер индивидуального предпринимателя, адрес регистрации индивидуального предпринимателя, являющимся контролируемым лицом:</w:t>
      </w:r>
      <w:r/>
    </w:p>
    <w:tbl>
      <w:tblPr>
        <w:tblW w:w="0" w:type="auto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Объект государственного контроля (надзора), в отношении которого проводится контрольное (надзорное) мероприятие: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Место (места) проведения контрольного (надзорного) мероприятия с заполнением проверочного листа:</w:t>
      </w:r>
      <w:r/>
    </w:p>
    <w:tbl>
      <w:tblPr>
        <w:tblW w:w="0" w:type="auto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ind w:firstLine="72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shd w:val="clear" w:color="auto" w:fill="ffffff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Учетный номер контрольного (надзорного) мероприятия: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ind w:firstLine="72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ind w:firstLine="0"/>
        <w:jc w:val="both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Должность, фамилия и инициалы должностного лица контрольного (надзорного) органа, в должностные обязанности которого в соответствии с положением о в</w:t>
      </w: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</w:r>
      <w:r/>
    </w:p>
    <w:tbl>
      <w:tblPr>
        <w:tblW w:w="0" w:type="auto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3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/>
    </w:p>
    <w:p>
      <w:pPr>
        <w:jc w:val="center"/>
        <w:shd w:val="clear" w:color="auto" w:fill="ffffff"/>
        <w:rPr>
          <w:rFonts w:ascii="PT Astra Serif" w:hAnsi="PT Astra Serif"/>
          <w:spacing w:val="2"/>
          <w:sz w:val="24"/>
          <w:szCs w:val="24"/>
        </w:rPr>
      </w:pP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Список контрольных вопросов, отражающих содержание </w:t>
      </w: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обязательных требований</w:t>
      </w: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, ответы на которые свидетельствуют о соблюдении или несоблюдении </w:t>
      </w: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контролируемым</w:t>
      </w: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 лицом, </w:t>
      </w: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обязательных </w:t>
      </w: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требований</w:t>
      </w: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 (</w:t>
      </w: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в части деятельности экскурсоводов (гидов), </w:t>
      </w:r>
      <w:r/>
    </w:p>
    <w:p>
      <w:pPr>
        <w:jc w:val="center"/>
        <w:shd w:val="clear" w:color="auto" w:fill="ffffff"/>
        <w:rPr>
          <w:rFonts w:ascii="PT Astra Serif" w:hAnsi="PT Astra Serif"/>
          <w:spacing w:val="2"/>
          <w:sz w:val="24"/>
          <w:szCs w:val="24"/>
        </w:rPr>
      </w:pP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гидов-переводчиков</w:t>
      </w: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)</w:t>
      </w:r>
      <w:r>
        <w:rPr>
          <w:rFonts w:ascii="PT Astra Serif" w:hAnsi="PT Astra Serif"/>
          <w:spacing w:val="2"/>
          <w:sz w:val="24"/>
          <w:szCs w:val="24"/>
          <w:shd w:val="clear" w:color="auto" w:fill="ffffff"/>
        </w:rPr>
        <w:t xml:space="preserve">: </w:t>
      </w:r>
      <w:r/>
    </w:p>
    <w:p>
      <w:pPr>
        <w:pStyle w:val="891"/>
        <w:jc w:val="both"/>
        <w:rPr>
          <w:sz w:val="24"/>
          <w:szCs w:val="24"/>
        </w:rPr>
      </w:pPr>
      <w:r>
        <w:rPr>
          <w:sz w:val="24"/>
          <w:szCs w:val="24"/>
        </w:rPr>
      </w:r>
      <w:r/>
    </w:p>
    <w:tbl>
      <w:tblPr>
        <w:tblW w:w="1031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07"/>
        <w:gridCol w:w="3330"/>
        <w:gridCol w:w="2693"/>
        <w:gridCol w:w="567"/>
        <w:gridCol w:w="709"/>
        <w:gridCol w:w="709"/>
        <w:gridCol w:w="1897"/>
      </w:tblGrid>
      <w:tr>
        <w:trPr>
          <w:cantSplit/>
          <w:jc w:val="center"/>
          <w:trHeight w:val="352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vMerge w:val="restart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/>
                <w:sz w:val="24"/>
                <w:szCs w:val="24"/>
              </w:rPr>
              <w:t xml:space="preserve">/п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330" w:type="dxa"/>
            <w:vMerge w:val="restart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Вопросы, отражающие содержание обязательных требований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pStyle w:val="891"/>
              <w:jc w:val="center"/>
              <w:rPr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Реквизиты нормативных правовых актов </w:t>
            </w:r>
            <w:r/>
          </w:p>
          <w:p>
            <w:pPr>
              <w:pStyle w:val="891"/>
              <w:jc w:val="center"/>
              <w:rPr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указанием структурных единиц этих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актов*</w:t>
            </w:r>
            <w:r/>
          </w:p>
        </w:tc>
        <w:tc>
          <w:tcPr>
            <w:gridSpan w:val="3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891"/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Ответы на вопросы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897" w:type="dxa"/>
            <w:vAlign w:val="center"/>
            <w:vMerge w:val="restart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Примечание (заполняется в случае указания ответа «неприменимо»)</w:t>
            </w:r>
            <w:r/>
          </w:p>
        </w:tc>
      </w:tr>
      <w:tr>
        <w:trPr>
          <w:cantSplit/>
          <w:jc w:val="center"/>
          <w:trHeight w:val="1818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vMerge w:val="continue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330" w:type="dxa"/>
            <w:vMerge w:val="continue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да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нет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неприменимо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897" w:type="dxa"/>
            <w:vMerge w:val="continue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jc w:val="center"/>
          <w:trHeight w:val="1818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330" w:type="dxa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Наличие действующей аттестации и нагрудной идентификационной карточки экскурсоводов (гидов) и гидов-переводчиков при оказании ими услуг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693" w:type="dxa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абзац 12 статьи 19.5 Федерального закона </w:t>
            </w:r>
            <w:r/>
          </w:p>
          <w:p>
            <w:pPr>
              <w:pStyle w:val="89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 24.11.1996 № 132-ФЗ «Об основах туристской деятельности в Российской Федерации»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897" w:type="dxa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cantSplit/>
          <w:jc w:val="center"/>
          <w:trHeight w:val="1818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 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330" w:type="dxa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правил оказания услуг экскурсоводом (гидом) и гидом-переводчиком (за исключением требований, относящихся к предмету федерального государственного контроля (надзора) в области защиты прав потребителей)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693" w:type="dxa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абзац 13 статьи 19.5 Федерального закона</w:t>
            </w:r>
            <w:r/>
          </w:p>
          <w:p>
            <w:pPr>
              <w:pStyle w:val="89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 24.11.1996 № 132-ФЗ «Об основах туристской деятельности в Российской Федерации»</w:t>
            </w:r>
            <w:bookmarkStart w:id="1" w:name="_GoBack"/>
            <w:r/>
            <w:bookmarkEnd w:id="1"/>
            <w:r/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897" w:type="dxa"/>
            <w:textDirection w:val="lrTb"/>
            <w:noWrap w:val="false"/>
          </w:tcPr>
          <w:p>
            <w:pPr>
              <w:pStyle w:val="89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/>
    </w:p>
    <w:p>
      <w:r/>
      <w:r/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_________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 xml:space="preserve">__________________________________________________________________________</w:t>
      </w:r>
      <w:r/>
    </w:p>
    <w:p>
      <w:pPr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(подпись)                  (должность, фамилия и инициалы должностного лица, проводящего проверку и </w:t>
        <w:tab/>
        <w:tab/>
        <w:tab/>
        <w:tab/>
        <w:tab/>
        <w:tab/>
        <w:tab/>
        <w:t xml:space="preserve">заполняющего </w:t>
      </w:r>
      <w:r>
        <w:rPr>
          <w:rFonts w:ascii="PT Astra Serif" w:hAnsi="PT Astra Serif" w:cs="PT Astra Serif"/>
          <w:sz w:val="20"/>
          <w:szCs w:val="20"/>
        </w:rPr>
        <w:t xml:space="preserve">проверочный лист)</w:t>
      </w:r>
      <w:r/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«</w:t>
      </w:r>
      <w:r>
        <w:rPr>
          <w:rFonts w:ascii="PT Astra Serif" w:hAnsi="PT Astra Serif" w:cs="PT Astra Serif"/>
        </w:rPr>
        <w:t xml:space="preserve">Да» - проставляется отметка, если предъявляемое требование реализовано в полном объеме; </w:t>
      </w:r>
      <w:r/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«Нет» - проставляется отметка, если предъявляемое требование не реализовано или реализовано не в полном объеме; </w:t>
      </w:r>
      <w:r/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«Неприменимо» - проставляется отметка, если предъявляемое требование не подлежит реализации проверяемым субъектом и (или) контролю (надзору) применительно к данному проверяемому субъекту; </w:t>
      </w:r>
      <w:r/>
    </w:p>
    <w:p>
      <w:pPr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</w:rPr>
        <w:t xml:space="preserve">«Примечание» - обязательно для заполнения в случае заполнения графы «неприменимо», а также возможно приведение поясняющих записей, если предъявляемое требование реализовано не в полном объеме, и иные пояснения.</w:t>
      </w:r>
      <w:r/>
    </w:p>
    <w:sectPr>
      <w:headerReference w:type="default" r:id="rId10"/>
      <w:headerReference w:type="first" r:id="rId11"/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spacing w:before="0"/>
      <w:rPr>
        <w:rFonts w:ascii="PT Astra Serif" w:hAnsi="PT Astra Serif"/>
        <w:b w:val="0"/>
        <w:bCs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8"/>
        <w:szCs w:val="28"/>
      </w:rPr>
      <w:fldChar w:fldCharType="separate"/>
    </w:r>
    <w:r>
      <w:rPr>
        <w:rFonts w:ascii="PT Astra Serif" w:hAnsi="PT Astra Serif"/>
        <w:b w:val="0"/>
        <w:bCs w:val="0"/>
        <w:sz w:val="28"/>
        <w:szCs w:val="28"/>
      </w:rPr>
      <w:t xml:space="preserve">2</w:t>
    </w:r>
    <w:r>
      <w:rPr>
        <w:rFonts w:ascii="PT Astra Serif" w:hAnsi="PT Astra Serif"/>
        <w:b w:val="0"/>
        <w:bCs w:val="0"/>
        <w:sz w:val="28"/>
        <w:szCs w:val="28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95"/>
      <w:ind w:left="0"/>
      <w:jc w:val="center"/>
      <w:spacing w:after="0" w:afterAutospacing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37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spacing w:before="0"/>
      <w:rPr>
        <w:rFonts w:ascii="PT Astra Serif" w:hAnsi="PT Astra Serif"/>
        <w:b w:val="0"/>
        <w:bCs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8"/>
        <w:szCs w:val="28"/>
      </w:rPr>
      <w:fldChar w:fldCharType="separate"/>
    </w:r>
    <w:r>
      <w:rPr>
        <w:rFonts w:ascii="PT Astra Serif" w:hAnsi="PT Astra Serif"/>
        <w:b w:val="0"/>
        <w:bCs w:val="0"/>
        <w:sz w:val="28"/>
        <w:szCs w:val="28"/>
      </w:rPr>
      <w:t xml:space="preserve">2</w:t>
    </w:r>
    <w:r>
      <w:rPr>
        <w:rFonts w:ascii="PT Astra Serif" w:hAnsi="PT Astra Serif"/>
        <w:b w:val="0"/>
        <w:bCs w:val="0"/>
        <w:sz w:val="28"/>
        <w:szCs w:val="28"/>
      </w:rPr>
      <w:fldChar w:fldCharType="end"/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2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95"/>
      <w:ind w:left="0"/>
      <w:jc w:val="center"/>
      <w:spacing w:after="0" w:afterAutospacing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37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4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85">
    <w:name w:val="Heading 1"/>
    <w:link w:val="718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86">
    <w:name w:val="Heading 2"/>
    <w:link w:val="719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87">
    <w:name w:val="Heading 3"/>
    <w:link w:val="7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88">
    <w:name w:val="Heading 4"/>
    <w:link w:val="72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89">
    <w:name w:val="Heading 5"/>
    <w:link w:val="72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90">
    <w:name w:val="Heading 6"/>
    <w:link w:val="72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91">
    <w:name w:val="Heading 7"/>
    <w:link w:val="72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92">
    <w:name w:val="Heading 8"/>
    <w:link w:val="72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93">
    <w:name w:val="Heading 9"/>
    <w:link w:val="72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706" w:customStyle="1">
    <w:name w:val="Title Char"/>
    <w:basedOn w:val="694"/>
    <w:link w:val="729"/>
    <w:uiPriority w:val="10"/>
    <w:rPr>
      <w:sz w:val="48"/>
      <w:szCs w:val="48"/>
    </w:rPr>
  </w:style>
  <w:style w:type="character" w:styleId="707" w:customStyle="1">
    <w:name w:val="Subtitle Char"/>
    <w:basedOn w:val="694"/>
    <w:link w:val="731"/>
    <w:uiPriority w:val="11"/>
    <w:rPr>
      <w:sz w:val="24"/>
      <w:szCs w:val="24"/>
    </w:rPr>
  </w:style>
  <w:style w:type="character" w:styleId="708" w:customStyle="1">
    <w:name w:val="Quote Char"/>
    <w:link w:val="733"/>
    <w:uiPriority w:val="29"/>
    <w:rPr>
      <w:i/>
    </w:rPr>
  </w:style>
  <w:style w:type="character" w:styleId="709" w:customStyle="1">
    <w:name w:val="Intense Quote Char"/>
    <w:link w:val="735"/>
    <w:uiPriority w:val="30"/>
    <w:rPr>
      <w:i/>
    </w:rPr>
  </w:style>
  <w:style w:type="character" w:styleId="710" w:customStyle="1">
    <w:name w:val="Header Char"/>
    <w:basedOn w:val="694"/>
    <w:link w:val="737"/>
    <w:uiPriority w:val="99"/>
  </w:style>
  <w:style w:type="character" w:styleId="711" w:customStyle="1">
    <w:name w:val="Footer Char"/>
    <w:basedOn w:val="694"/>
    <w:link w:val="739"/>
    <w:uiPriority w:val="99"/>
  </w:style>
  <w:style w:type="character" w:styleId="712" w:customStyle="1">
    <w:name w:val="Caption Char"/>
    <w:link w:val="739"/>
    <w:uiPriority w:val="99"/>
  </w:style>
  <w:style w:type="character" w:styleId="713" w:customStyle="1">
    <w:name w:val="Footnote Text Char"/>
    <w:link w:val="868"/>
    <w:uiPriority w:val="99"/>
    <w:rPr>
      <w:sz w:val="18"/>
    </w:rPr>
  </w:style>
  <w:style w:type="paragraph" w:styleId="714">
    <w:name w:val="endnote text"/>
    <w:basedOn w:val="684"/>
    <w:link w:val="715"/>
    <w:uiPriority w:val="99"/>
    <w:semiHidden/>
    <w:unhideWhenUsed/>
    <w:pPr>
      <w:spacing w:after="0" w:line="240" w:lineRule="auto"/>
    </w:pPr>
    <w:rPr>
      <w:sz w:val="20"/>
    </w:rPr>
  </w:style>
  <w:style w:type="character" w:styleId="715" w:customStyle="1">
    <w:name w:val="Endnote Text Char"/>
    <w:link w:val="714"/>
    <w:uiPriority w:val="99"/>
    <w:rPr>
      <w:sz w:val="20"/>
    </w:rPr>
  </w:style>
  <w:style w:type="character" w:styleId="716">
    <w:name w:val="endnote reference"/>
    <w:basedOn w:val="694"/>
    <w:uiPriority w:val="99"/>
    <w:semiHidden/>
    <w:unhideWhenUsed/>
    <w:rPr>
      <w:vertAlign w:val="superscript"/>
    </w:rPr>
  </w:style>
  <w:style w:type="paragraph" w:styleId="717">
    <w:name w:val="table of figures"/>
    <w:basedOn w:val="684"/>
    <w:next w:val="684"/>
    <w:uiPriority w:val="99"/>
    <w:unhideWhenUsed/>
    <w:pPr>
      <w:spacing w:after="0" w:afterAutospacing="0"/>
    </w:pPr>
  </w:style>
  <w:style w:type="character" w:styleId="718" w:customStyle="1">
    <w:name w:val="Заголовок 1 Знак"/>
    <w:link w:val="685"/>
    <w:uiPriority w:val="9"/>
    <w:rPr>
      <w:rFonts w:ascii="Arial" w:hAnsi="Arial" w:eastAsia="Arial"/>
      <w:sz w:val="40"/>
      <w:szCs w:val="40"/>
      <w:lang w:bidi="ar-SA"/>
    </w:rPr>
  </w:style>
  <w:style w:type="character" w:styleId="719" w:customStyle="1">
    <w:name w:val="Заголовок 2 Знак"/>
    <w:link w:val="686"/>
    <w:uiPriority w:val="9"/>
    <w:rPr>
      <w:rFonts w:ascii="Arial" w:hAnsi="Arial" w:eastAsia="Arial"/>
      <w:sz w:val="34"/>
      <w:lang w:bidi="ar-SA"/>
    </w:rPr>
  </w:style>
  <w:style w:type="character" w:styleId="720" w:customStyle="1">
    <w:name w:val="Заголовок 3 Знак"/>
    <w:link w:val="687"/>
    <w:uiPriority w:val="9"/>
    <w:rPr>
      <w:rFonts w:ascii="Arial" w:hAnsi="Arial" w:eastAsia="Arial"/>
      <w:sz w:val="30"/>
      <w:szCs w:val="30"/>
      <w:lang w:bidi="ar-SA"/>
    </w:rPr>
  </w:style>
  <w:style w:type="character" w:styleId="721" w:customStyle="1">
    <w:name w:val="Заголовок 4 Знак"/>
    <w:link w:val="688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22" w:customStyle="1">
    <w:name w:val="Заголовок 5 Знак"/>
    <w:link w:val="689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3" w:customStyle="1">
    <w:name w:val="Заголовок 6 Знак"/>
    <w:link w:val="690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24" w:customStyle="1">
    <w:name w:val="Заголовок 7 Знак"/>
    <w:link w:val="691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5" w:customStyle="1">
    <w:name w:val="Заголовок 8 Знак"/>
    <w:link w:val="692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6" w:customStyle="1">
    <w:name w:val="Заголовок 9 Знак"/>
    <w:link w:val="693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7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9">
    <w:name w:val="Title"/>
    <w:link w:val="730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30" w:customStyle="1">
    <w:name w:val="Название Знак"/>
    <w:link w:val="729"/>
    <w:uiPriority w:val="10"/>
    <w:rPr>
      <w:sz w:val="48"/>
      <w:szCs w:val="48"/>
      <w:lang w:bidi="ar-SA"/>
    </w:rPr>
  </w:style>
  <w:style w:type="paragraph" w:styleId="731">
    <w:name w:val="Subtitle"/>
    <w:link w:val="732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32" w:customStyle="1">
    <w:name w:val="Подзаголовок Знак"/>
    <w:link w:val="731"/>
    <w:uiPriority w:val="11"/>
    <w:rPr>
      <w:sz w:val="24"/>
      <w:szCs w:val="24"/>
      <w:lang w:bidi="ar-SA"/>
    </w:rPr>
  </w:style>
  <w:style w:type="paragraph" w:styleId="733">
    <w:name w:val="Quote"/>
    <w:link w:val="734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34" w:customStyle="1">
    <w:name w:val="Цитата 2 Знак"/>
    <w:link w:val="733"/>
    <w:uiPriority w:val="29"/>
    <w:rPr>
      <w:i/>
      <w:lang w:val="ru-RU" w:eastAsia="ru-RU" w:bidi="ar-SA"/>
    </w:rPr>
  </w:style>
  <w:style w:type="paragraph" w:styleId="735">
    <w:name w:val="Intense Quote"/>
    <w:link w:val="73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6" w:customStyle="1">
    <w:name w:val="Выделенная цитата Знак"/>
    <w:link w:val="735"/>
    <w:uiPriority w:val="30"/>
    <w:rPr>
      <w:i/>
      <w:shd w:val="clear" w:color="auto" w:fill="f2f2f2"/>
      <w:lang w:val="ru-RU" w:eastAsia="ru-RU" w:bidi="ar-SA"/>
    </w:rPr>
  </w:style>
  <w:style w:type="paragraph" w:styleId="737">
    <w:name w:val="Header"/>
    <w:basedOn w:val="684"/>
    <w:link w:val="738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8" w:customStyle="1">
    <w:name w:val="Верхний колонтитул Знак"/>
    <w:link w:val="737"/>
    <w:uiPriority w:val="99"/>
  </w:style>
  <w:style w:type="paragraph" w:styleId="739">
    <w:name w:val="Footer"/>
    <w:basedOn w:val="684"/>
    <w:link w:val="740"/>
    <w:uiPriority w:val="99"/>
    <w:pPr>
      <w:tabs>
        <w:tab w:val="center" w:pos="4153" w:leader="none"/>
        <w:tab w:val="right" w:pos="8306" w:leader="none"/>
      </w:tabs>
    </w:pPr>
  </w:style>
  <w:style w:type="character" w:styleId="740" w:customStyle="1">
    <w:name w:val="Нижний колонтитул Знак"/>
    <w:link w:val="739"/>
    <w:uiPriority w:val="99"/>
  </w:style>
  <w:style w:type="table" w:styleId="74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 w:customStyle="1">
    <w:name w:val="Plain Table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 w:customStyle="1">
    <w:name w:val="Plain Table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Plain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Plain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Plain Table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7">
    <w:name w:val="Hyperlink"/>
    <w:uiPriority w:val="99"/>
    <w:unhideWhenUsed/>
    <w:rPr>
      <w:color w:val="0000ff"/>
      <w:u w:val="single"/>
    </w:rPr>
  </w:style>
  <w:style w:type="paragraph" w:styleId="868">
    <w:name w:val="footnote text"/>
    <w:link w:val="869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9" w:customStyle="1">
    <w:name w:val="Текст сноски Знак"/>
    <w:link w:val="868"/>
    <w:uiPriority w:val="99"/>
    <w:semiHidden/>
    <w:rPr>
      <w:sz w:val="18"/>
      <w:lang w:bidi="ar-SA"/>
    </w:rPr>
  </w:style>
  <w:style w:type="character" w:styleId="870">
    <w:name w:val="footnote reference"/>
    <w:uiPriority w:val="99"/>
    <w:unhideWhenUsed/>
    <w:rPr>
      <w:vertAlign w:val="superscript"/>
    </w:rPr>
  </w:style>
  <w:style w:type="paragraph" w:styleId="871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7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8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9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0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1">
    <w:name w:val="Body Text"/>
    <w:basedOn w:val="684"/>
    <w:next w:val="684"/>
    <w:pPr>
      <w:jc w:val="both"/>
    </w:pPr>
    <w:rPr>
      <w:sz w:val="22"/>
    </w:rPr>
  </w:style>
  <w:style w:type="character" w:styleId="882">
    <w:name w:val="page number"/>
    <w:basedOn w:val="694"/>
  </w:style>
  <w:style w:type="paragraph" w:styleId="883">
    <w:name w:val="Caption"/>
    <w:basedOn w:val="684"/>
    <w:next w:val="684"/>
    <w:pPr>
      <w:jc w:val="center"/>
    </w:pPr>
    <w:rPr>
      <w:b/>
      <w:sz w:val="28"/>
    </w:rPr>
  </w:style>
  <w:style w:type="paragraph" w:styleId="884">
    <w:name w:val="Body Text 2"/>
    <w:basedOn w:val="684"/>
    <w:pPr>
      <w:ind w:right="5102"/>
      <w:jc w:val="center"/>
      <w:spacing w:before="120"/>
    </w:pPr>
  </w:style>
  <w:style w:type="paragraph" w:styleId="885" w:customStyle="1">
    <w:name w:val="Обращение"/>
    <w:basedOn w:val="684"/>
    <w:next w:val="684"/>
    <w:pPr>
      <w:jc w:val="center"/>
      <w:spacing w:before="240" w:after="120"/>
    </w:pPr>
    <w:rPr>
      <w:b/>
    </w:rPr>
  </w:style>
  <w:style w:type="paragraph" w:styleId="886" w:customStyle="1">
    <w:name w:val="Адресные реквизиты"/>
    <w:basedOn w:val="881"/>
    <w:next w:val="881"/>
    <w:pPr>
      <w:jc w:val="left"/>
    </w:pPr>
    <w:rPr>
      <w:sz w:val="16"/>
    </w:rPr>
  </w:style>
  <w:style w:type="paragraph" w:styleId="887" w:customStyle="1">
    <w:name w:val="Адресат"/>
    <w:basedOn w:val="684"/>
    <w:pPr>
      <w:spacing w:before="120"/>
    </w:pPr>
    <w:rPr>
      <w:b/>
    </w:rPr>
  </w:style>
  <w:style w:type="paragraph" w:styleId="888">
    <w:name w:val="Body Text 3"/>
    <w:basedOn w:val="684"/>
    <w:pPr>
      <w:spacing w:before="120"/>
      <w:tabs>
        <w:tab w:val="left" w:pos="7371" w:leader="none"/>
      </w:tabs>
    </w:pPr>
    <w:rPr>
      <w:sz w:val="28"/>
    </w:rPr>
  </w:style>
  <w:style w:type="paragraph" w:styleId="889">
    <w:name w:val="Balloon Text"/>
    <w:basedOn w:val="684"/>
    <w:link w:val="89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90" w:customStyle="1">
    <w:name w:val="Текст выноски Знак"/>
    <w:link w:val="889"/>
    <w:uiPriority w:val="99"/>
    <w:semiHidden/>
    <w:rPr>
      <w:rFonts w:ascii="Tahoma" w:hAnsi="Tahoma" w:cs="Tahoma"/>
      <w:sz w:val="16"/>
      <w:szCs w:val="16"/>
    </w:rPr>
  </w:style>
  <w:style w:type="paragraph" w:styleId="891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92">
    <w:name w:val="Body Text Indent"/>
    <w:basedOn w:val="684"/>
    <w:link w:val="893"/>
    <w:uiPriority w:val="99"/>
    <w:semiHidden/>
    <w:unhideWhenUsed/>
    <w:pPr>
      <w:ind w:left="283"/>
      <w:spacing w:after="120"/>
    </w:pPr>
  </w:style>
  <w:style w:type="character" w:styleId="893" w:customStyle="1">
    <w:name w:val="Основной текст с отступом Знак"/>
    <w:link w:val="892"/>
    <w:uiPriority w:val="99"/>
    <w:semiHidden/>
    <w:rPr>
      <w:sz w:val="22"/>
      <w:szCs w:val="22"/>
      <w:lang w:eastAsia="en-US" w:bidi="en-US"/>
    </w:rPr>
  </w:style>
  <w:style w:type="paragraph" w:styleId="894" w:customStyle="1">
    <w:name w:val="Заголовок 11"/>
    <w:basedOn w:val="739"/>
    <w:next w:val="739"/>
    <w:pPr>
      <w:contextualSpacing w:val="0"/>
      <w:ind w:left="0" w:right="0" w:firstLine="0"/>
      <w:jc w:val="left"/>
      <w:keepLines w:val="0"/>
      <w:keepNext/>
      <w:pageBreakBefore w:val="0"/>
      <w:spacing w:before="240" w:beforeAutospacing="0" w:after="60" w:afterAutospacing="0" w:line="240" w:lineRule="auto"/>
      <w:shd w:val="nil" w:color="000000" w:fill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  <w:suppressLineNumbers w:val="0"/>
    </w:pPr>
    <w:rPr>
      <w:rFonts w:ascii="Cambria" w:hAnsi="Cambria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styleId="895" w:customStyle="1">
    <w:name w:val="Абзац списка"/>
    <w:next w:val="778"/>
    <w:link w:val="755"/>
    <w:pPr>
      <w:contextualSpacing/>
      <w:ind w:left="72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 w:color="000000" w:fill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</w:rPr>
  </w:style>
  <w:style w:type="paragraph" w:styleId="896" w:customStyle="1">
    <w:name w:val="ConsPlusTitle"/>
    <w:next w:val="774"/>
    <w:link w:val="755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 w:fill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  <w:style w:type="paragraph" w:styleId="897" w:customStyle="1">
    <w:name w:val="Обычный"/>
    <w:next w:val="755"/>
    <w:link w:val="755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 w:fill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yperlink" Target="consultantplus://offline/ref=A25057387F30360D80CB3C7F741B35D31102C73BDBF9B1637516A9EECDAE96EB8D57D5F1E2C456B499185565A7B6AD9EF9CB4A1DB77C27B8SAw8F" TargetMode="External"/><Relationship Id="rId13" Type="http://schemas.openxmlformats.org/officeDocument/2006/relationships/hyperlink" Target="consultantplus://offline/ref=70F4488748F88A69A5344FAA752C2719F9473A331C06774F493E0085F529C40A71877987AE263D9E1DCF5CF1FC036DE4AD1C0FD7D2H4C7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20</cp:revision>
  <dcterms:created xsi:type="dcterms:W3CDTF">2023-02-28T07:43:00Z</dcterms:created>
  <dcterms:modified xsi:type="dcterms:W3CDTF">2026-09-07T07:21:14Z</dcterms:modified>
</cp:coreProperties>
</file>