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63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20.08.2026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63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63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519</w:t>
              <w:fldChar w:fldCharType="end"/>
            </w:r>
            <w:r/>
          </w:p>
        </w:tc>
      </w:tr>
    </w:tbl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jc w:val="center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 создании контрактной службы в Департаменте лицензирования и регионального государственного контроля Томской области</w:t>
      </w:r>
      <w:r/>
    </w:p>
    <w:p>
      <w:pPr>
        <w:jc w:val="center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ff0000"/>
          <w:sz w:val="28"/>
          <w:szCs w:val="28"/>
        </w:rPr>
        <w:t xml:space="preserve"> 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соответствии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частью 3 статьи 38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  <w:r/>
    </w:p>
    <w:p>
      <w:pPr>
        <w:pStyle w:val="706"/>
        <w:numPr>
          <w:ilvl w:val="0"/>
          <w:numId w:val="1"/>
        </w:numPr>
        <w:ind w:left="0" w:firstLine="709"/>
        <w:jc w:val="both"/>
        <w:spacing w:after="0"/>
        <w:tabs>
          <w:tab w:val="left" w:pos="992" w:leader="none"/>
        </w:tabs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Создать контрактную службу, осуществляющую функции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и полномочия по осуществлению закупок путем проведения конкурсов, аукционов, запросов котировок, запросов предложения в Департаменте лицензирования и регионального государственного контроля Томской области (далее – Контрактная служба) в следующем составе: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Верюжская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Ольга Владиславовна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ab/>
        <w:t xml:space="preserve"> - заместитель начальника департамента- председатель комитета организационно-правового обеспечения  – руководитель контрактной службы;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Чертенкова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Анастасия Сергеевна – председатель комитета бюджетного учета, отчетности и хозяйственного обеспечения – работник контрактной службы;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Симакова Анна Николаевна – заместитель председателя комитета бюджетного учета, отчетности и хозяйственного обеспечения – работник контрактной службы;</w:t>
      </w:r>
      <w:r/>
    </w:p>
    <w:p>
      <w:pPr>
        <w:ind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Качуркина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Вера Викторовна – консультант комитета бюджетного учета, отчетности и хозяйственного обеспечения – работник контрактной службы;</w:t>
      </w:r>
      <w:r/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Сидоренко Наталия Валерьевна - консультант комитета организационно-правового обеспечения -работник контрактной службы.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Установить, что функциональные обязанности Контрактной службы распределяется между работниками Контрактной службы, согласно </w:t>
      </w:r>
      <w:hyperlink r:id="rId12" w:tooltip="consultantplus://offline/ref=B0A61E52BC96F88F0C3D730ACCD745A2D8F7B0B62CBC8D63CE95638402A8BE68DF6D4F4245187CC2wBx5G" w:history="1">
        <w:r>
          <w:rPr>
            <w:rStyle w:val="846"/>
            <w:rFonts w:ascii="PT Astra Serif" w:hAnsi="PT Astra Serif" w:eastAsia="PT Astra Serif" w:cs="PT Astra Serif"/>
            <w:color w:val="000000"/>
            <w:sz w:val="28"/>
            <w:szCs w:val="28"/>
            <w:u w:val="none"/>
          </w:rPr>
          <w:t xml:space="preserve">приложению </w:t>
        </w:r>
      </w:hyperlink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к настоящему приказу.</w:t>
      </w:r>
      <w:r/>
    </w:p>
    <w:p>
      <w:pPr>
        <w:ind w:firstLine="709"/>
        <w:jc w:val="both"/>
        <w:tabs>
          <w:tab w:val="left" w:pos="582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3. Признать утративш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им силу приказ Департамента лицензирования и регионального государственного контроля Томской области от 11.08.2022               № 1361 «О создании контрактной службы в Департаменте лицензирования и регионального государственного контроля Томской области» </w:t>
      </w:r>
      <w:r>
        <w:rPr>
          <w:rFonts w:ascii="PT Astra Serif" w:hAnsi="PT Astra Serif"/>
          <w:sz w:val="28"/>
          <w:szCs w:val="28"/>
        </w:rPr>
        <w:t xml:space="preserve">(Официальный </w:t>
      </w:r>
      <w:r>
        <w:rPr>
          <w:rFonts w:ascii="PT Astra Serif" w:hAnsi="PT Astra Serif"/>
          <w:sz w:val="28"/>
          <w:szCs w:val="28"/>
        </w:rPr>
        <w:t xml:space="preserve">интернет-портал правовой </w:t>
      </w:r>
      <w:r>
        <w:rPr>
          <w:rFonts w:ascii="PT Astra Serif" w:hAnsi="PT Astra Serif" w:cs="PT Astra Serif"/>
          <w:sz w:val="28"/>
          <w:szCs w:val="28"/>
        </w:rPr>
        <w:t xml:space="preserve">информации (</w:t>
      </w:r>
      <w:r>
        <w:rPr>
          <w:rFonts w:ascii="PT Astra Serif" w:hAnsi="PT Astra Serif" w:cs="PT Astra Serif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sz w:val="28"/>
          <w:szCs w:val="28"/>
        </w:rPr>
        <w:t xml:space="preserve">.pravo.gov.ru), 15.08.2022,                       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Sans" w:cs="PT Astra Serif"/>
          <w:sz w:val="28"/>
          <w:szCs w:val="28"/>
          <w:highlight w:val="white"/>
        </w:rPr>
        <w:t xml:space="preserve"> </w:t>
      </w:r>
      <w:r>
        <w:rPr>
          <w:rFonts w:ascii="PT Astra Serif" w:hAnsi="PT Astra Serif" w:eastAsia="Fira Sans Condensed" w:cs="PT Astra Serif"/>
          <w:sz w:val="28"/>
          <w:szCs w:val="28"/>
          <w:highlight w:val="white"/>
        </w:rPr>
        <w:t xml:space="preserve">7001202208150002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).</w:t>
      </w:r>
      <w:r/>
    </w:p>
    <w:p>
      <w:pPr>
        <w:ind w:firstLine="709"/>
        <w:jc w:val="both"/>
        <w:tabs>
          <w:tab w:val="left" w:pos="582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4. Контроль за исполнением настоящего приказа оставляю за собой. </w:t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417" w:right="850" w:bottom="1249" w:left="1275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Томской области</w:t>
      </w:r>
      <w:r/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20.08.2026</w:t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519</w:t>
        <w:fldChar w:fldCharType="end"/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jc w:val="center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Распределение функц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иональных обязанностей контрактной службы, осуществляющей функции и полномочия по осуществлению закупок путем проведения конкурсов, аукционов, запросов котировок, запросов предложения в Департаменте лицензирования и регионального государственного контроля </w:t>
      </w:r>
      <w:r/>
    </w:p>
    <w:p>
      <w:pPr>
        <w:jc w:val="center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Томской области</w:t>
      </w:r>
      <w:r/>
    </w:p>
    <w:p>
      <w:pPr>
        <w:spacing w:after="200" w:line="253" w:lineRule="atLeast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 </w:t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85"/>
        <w:gridCol w:w="6636"/>
        <w:gridCol w:w="2197"/>
      </w:tblGrid>
      <w:tr>
        <w:trPr>
          <w:cantSplit/>
          <w:tblHeader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№/№</w:t>
            </w:r>
            <w:r/>
          </w:p>
        </w:tc>
        <w:tc>
          <w:tcPr>
            <w:shd w:val="clear" w:color="auto" w:fill="auto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Функциональные обязанности</w:t>
            </w:r>
            <w:r/>
          </w:p>
        </w:tc>
        <w:tc>
          <w:tcPr>
            <w:shd w:val="clear" w:color="auto" w:fill="auto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6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Работник Контрактной службы, за которым закреплены функциональные обязанности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602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 планировании закупок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</w:tr>
      <w:tr>
        <w:trPr>
          <w:cantSplit/>
          <w:trHeight w:val="70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Разрабатывает план-график, осуществляет подготовку изменений в план-график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6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67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1.2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Размещает в единой информационной системе в сфере закупок (далее - единая информационная система) план-график и внесенные в него изменения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6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Организует общественное обсуж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дение закупок в случаях, предусмотренных статьей 20 Федерального закона от 5 апреля 2013 года  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44 - ФЗ)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6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Разрабатывает требования к закупаемым отдельным видам товаров, работ, услуг (в том числе предельные цены товаров, 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работ, услуг) и (или) нормативные затраты на обеспечение функций Департамента лицензирования и регионального государственного контроля (далее – Департамент) на основании правовых актов о нормировании в соответствии со статьей 19 Федерального закона № 44-ФЗ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6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45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1.5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Организует в случае необходимости консультации с поставщиками (подрядч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602" w:type="pct"/>
            <w:textDirection w:val="lrTb"/>
            <w:noWrap w:val="false"/>
          </w:tcPr>
          <w:p>
            <w:pPr>
              <w:ind w:firstLine="34"/>
              <w:jc w:val="center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 определении поставщиков (подрядчиков, исполнителей)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проведение закрытых конкурентных способов определения поставщиков (подрядчиков, исполнителей) в случаях, установленных частями 11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и 12 статьи 24 Федерального закона № 44-ФЗ, по согласованию с федеральным органом исполнительной власти, уполномоченным Правительством Российской Федерации на осуществление данных функций (если такое согласование предусмотрено Федеральным законом № 44-ФЗ)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подготовку и размещение в единой информационной системе извещений об осуществлении закупок, документации о закупках (в случае, е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сли Федеральным законом    № 44-ФЗ предусмотрена документация о закупках), проектов контрактов, подготовку и направление приглашений принять участие в определении поставщиков (подрядчиков, исполнителей) закрытыми способами, в том числе в электронной форме: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2.2.1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определяет и обосновывает нача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льную (максимальную) цену контракта, цену контракта, заключаемого с единственным поставщиком (подрядчиком, исполнителем), начальную цену единицы товара, работы, услуги, начальную сумму цен единиц товаров, работ, услуг, максимальное значение цены контракта;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2.2.2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описание объекта закупки;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2.2.3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указывает в извещении об осуществлении закупки информацию, предусмотренную статьей 42 Федерального закона № 44-ФЗ, в том числе информацию:</w:t>
            </w:r>
            <w:r/>
          </w:p>
          <w:p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 условиях, о запретах и об ограничениях допуска товаров, происходящих из 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Федерального закона № 44-ФЗ;</w:t>
            </w:r>
            <w:r/>
          </w:p>
          <w:p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 преимуществе в отношении участников закупок, установленном в соответствии со статьей 30 Федерального закона № 44-ФЗ (при необходимости);</w:t>
            </w:r>
            <w:r/>
          </w:p>
          <w:p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 преимуществах, предоставляемых в соответствии со статьями 28, 29 Федерального закона № 44-ФЗ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подготовку и размещение в единой информационной системе разъяснений положений извещения об осуществлении закупки, документации о закупке (в случае, если Федеральным законом № 44-ФЗ предусмотрена документация о закупке)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подготовку и размещение в еди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ной информационной системе извещения об отмене определения поставщика (подрядчика, исполнителя), изменений в извещение об осуществлении закупки и (или) документацию о закупке (в случае, если Федеральным законом № 44-ФЗ предусмотрена документация о закупке)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оформление и размещение в единой информационной системе протоколов определения поставщика (подрядчика, исполнителя)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организационно-техническое обеспечение деятельности комиссии по осуществлению закупок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728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2.7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привлечение экспертов, экспертных организаций в случаях, установленных статьей 41 Федерального закона № 44-ФЗ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165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602" w:type="pc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 заключении контрактов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</w:tr>
      <w:tr>
        <w:trPr>
          <w:cantSplit/>
          <w:trHeight w:val="120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размещение проекта контракта (контракта) в единой информационной системе и на электронной площадке с использованием единой информационной системы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12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рассмотрение протокола разногласий при наличии разногласий по проекту контракта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Сидоренко Н.В.</w:t>
            </w:r>
            <w:r/>
          </w:p>
        </w:tc>
      </w:tr>
      <w:tr>
        <w:trPr>
          <w:cantSplit/>
          <w:trHeight w:val="763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ind w:firstLine="34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рассмотрение независимой гарантии, представленной в качестве обеспечения исполнения контракта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spacing w:after="200" w:line="25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1058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Организует проверку поступления денежных средств от участника закупки, с которым заключается контракт, на счет Департамента, внесенных в качестве обеспечения исполнения контракта 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spacing w:after="200" w:line="253" w:lineRule="atLeast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Чертенкова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А.С.</w:t>
            </w:r>
            <w:r/>
          </w:p>
        </w:tc>
      </w:tr>
      <w:tr>
        <w:trPr>
          <w:cantSplit/>
          <w:trHeight w:val="16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подготовку и направление в контрольный орган в сфере закупок предусмотренного частью 6 статьи 93 Федерального закона № 44-ФЗ обращения Департамента о согласовании заключения контракта с единственным поставщиком (подрядчиком, исполнителем)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96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подготовку и направление в контрольный орган в сфере закупок уведомления о заключении контракта с единственным поставщиком (подрядчиком, исполнителем) в случаях, установленных частью 2 статьи 93 Федерального закона № 44-ФЗ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150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хранение информации и документов в соответствии с частью 15 статьи 4 Федерального закона № 44-ФЗ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165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заключение контракта с участником закупки, в том числе с которым заключается контракт, в случае уклонения победителя определения (поставщика (подрядчика, исполнителя) от заключения контракта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13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3.9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Направляет информацию о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заключенных контрактах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80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</w:t>
            </w:r>
            <w:r/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602" w:type="pc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 исполнении, изменении, расторжении контракта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</w:tr>
      <w:tr>
        <w:trPr>
          <w:cantSplit/>
          <w:trHeight w:val="1011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рассмотрение независимой гарантии, представленной в качестве обеспечения гарантийного обязательства 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544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исполнение условий контракта в части выплаты аванса (если контрактом предусмотрена выплата аванса)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Чертенкова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А.С.</w:t>
            </w:r>
            <w:r/>
          </w:p>
        </w:tc>
      </w:tr>
      <w:tr>
        <w:trPr>
          <w:cantSplit/>
          <w:trHeight w:val="13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в том числе: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10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4.3.1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проведение силами Департамента или с привлечением экспертов, экспертных организаций экспертизы поставленного товара, выполненной работы, оказанной услуги, а также отдельных этапов исполнения контракта;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135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4.3.2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подготовку решения Департамента о создании приемочной комиссии для приемки поставленного товара, выполненной работы или оказанной услуги, результатов отдельного этапа исполнения контракта;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150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4.3.3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осуществляет оформление документа о приемке поставленного товара, выполненной работы или оказанной услуги, результатов отдельного этапа исполнения контракта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111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исполнение условий контракта в части оплаты поставленного товара, выполненной работы (ее результатов), оказанной услуги, а также отдельных этапов исполнения контракта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Чертенкова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А.С.</w:t>
            </w:r>
            <w:r/>
          </w:p>
        </w:tc>
      </w:tr>
      <w:tr>
        <w:trPr>
          <w:cantSplit/>
          <w:trHeight w:val="1770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Направляет информацию об исполнении контрактов, о внесении изменений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 заключенные контракты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1011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Взаимодействует с поставщиком (подрядчиком, исполнителем) при изменении, расторжении контракта в соответствии со статьей 95 Федерального закона № 44-ФЗ, применении мер ответственности в случае нарушения условий контракта, в том числе 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иных случаях неисполнения или ненадлежащего исполнения поставщиком (подрядчиком, исполнителем) обязательств, предусмотренных контрактом, совершении иных действий в случае нарушения поставщиком (подрядчиком, исполнителем) или Департаментом условий контракта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Сидоренко Н.В.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135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4.7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Направляет в порядке, предусмотренном статьей 104 Федерального закона № 44-ФЗ, в контрольный орган в сфере закупок информацию о поставщиках (подрядчиках, исполнителях), с которыми контракты р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асторгнуты по решению суда или в случае одностороннего отказа Департамента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(подрядчиков, исполнителей)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Сидоренко Н.В.</w:t>
            </w:r>
            <w:r/>
          </w:p>
        </w:tc>
      </w:tr>
      <w:tr>
        <w:trPr>
          <w:cantSplit/>
          <w:trHeight w:val="111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исполнение условий контракта в части возврата поставщику (подрядчику, исполнителю) денежных средств, внесенных в качестве обеспечения исполнения контракта (если такая форма об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еспечения исполнения контракта применяется поставщиком (подрядчиком, исполнителем), в том числе части этих денежных средств в случае уменьшения размера обеспечения исполнения контракта, в сроки, установленные частью 27 статьи 34 Федерального закона № 44-ФЗ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Симакова А.Н.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cantSplit/>
          <w:trHeight w:val="810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4.9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Обеспечивает одностороннее расторжение контракта в порядке, предусмотренном статьей 95 Федерального закона № 44-ФЗ 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Сидоренко Н.В.</w:t>
            </w:r>
            <w:r/>
          </w:p>
        </w:tc>
      </w:tr>
    </w:tbl>
    <w:p>
      <w:r>
        <w:br w:type="page" w:clear="all"/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66"/>
        <w:gridCol w:w="6646"/>
        <w:gridCol w:w="2206"/>
      </w:tblGrid>
      <w:tr>
        <w:trPr>
          <w:cantSplit/>
          <w:trHeight w:val="279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5</w:t>
            </w:r>
            <w:r/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602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Иные функции и полномочия, предусмотренные 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Федеральным законом № 44-ФЗ</w:t>
            </w:r>
            <w:r/>
          </w:p>
        </w:tc>
      </w:tr>
      <w:tr>
        <w:trPr>
          <w:cantSplit/>
          <w:trHeight w:val="126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5.2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 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  <w:tr>
        <w:trPr>
          <w:cantSplit/>
          <w:trHeight w:val="96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5.3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Принимает участие в рассмотрении дел об обжаловании действий (бездействия) Заказчика, уполномоченног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 органа (учреждения) в случае если определение поставщика (подрядчика, исполнителя) для Заказчика осуществляется таким органом (учреждением), специализированной организацией (в случае ее привлечения), комиссии по осуществлению закупок, ее членов, должност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ного лица контрактной службы, оператора электронной площадки, оператора специализированной электронной площадки, банков, государственной корпорации «ВЭБ.РФ», фондов содействия кредитованию (гарантийных фондов, фондов поручительств), являющихся участниками 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национальной гарантийной системы поддержки малого и среднего предпринимательства, предусмотренной Федеральным законом от 24 июля 2007 года      № 209-ФЗ «О развитии малого и среднего предпринимательства в Российской Федерации» (при осуществлении такими бан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ками, корпорацией, такими фондами действий, предусмотренных Федеральным законом № 44-ФЗ) если такие действия (бездействие) нарушают права и законные интересы участника закупки, а также осуществляет подготовку материалов в рамках претензионно-исковой работы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Верюжская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О.В.</w:t>
            </w:r>
            <w:r/>
          </w:p>
        </w:tc>
      </w:tr>
      <w:tr>
        <w:trPr>
          <w:cantSplit/>
          <w:trHeight w:val="96"/>
          <w:tblHeader/>
        </w:trPr>
        <w:tc>
          <w:tcPr>
            <w:shd w:val="clear" w:color="auto" w:fill="auto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8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5.4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55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При централизации закупок в соответствии со статьей 26 Федера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льного закона № 44-ФЗ осуществляет предусмотренные Федеральным законом № 44-ФЗ и Положением полномочия, не переданные соответствующему уполномоченному органу (учреждению) на осуществление определения поставщиков (подрядчиков, исполнителей) для Департамента</w:t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7" w:type="pc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Качуркина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В.В.</w:t>
            </w:r>
            <w:r/>
          </w:p>
        </w:tc>
      </w:tr>
    </w:tbl>
    <w:p>
      <w:pPr>
        <w:spacing w:after="200" w:line="253" w:lineRule="atLeast"/>
        <w:tabs>
          <w:tab w:val="left" w:pos="1065" w:leader="none"/>
        </w:tabs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 </w:t>
      </w:r>
      <w:r/>
    </w:p>
    <w:p>
      <w:pPr>
        <w:ind w:firstLine="708"/>
        <w:spacing w:after="200" w:line="253" w:lineRule="atLeast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 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PT Sans">
    <w:panose1 w:val="020B05030202030202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532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 lim="0"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06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16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3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44">
    <w:name w:val="Heading 1"/>
    <w:link w:val="69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45">
    <w:name w:val="Heading 2"/>
    <w:link w:val="69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46">
    <w:name w:val="Heading 3"/>
    <w:link w:val="69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47">
    <w:name w:val="Heading 4"/>
    <w:link w:val="70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48">
    <w:name w:val="Heading 5"/>
    <w:link w:val="70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49">
    <w:name w:val="Heading 6"/>
    <w:link w:val="70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50">
    <w:name w:val="Heading 7"/>
    <w:link w:val="70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51">
    <w:name w:val="Heading 8"/>
    <w:link w:val="70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52">
    <w:name w:val="Heading 9"/>
    <w:link w:val="70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53" w:default="1">
    <w:name w:val="Default Paragraph Font"/>
    <w:uiPriority w:val="1"/>
    <w:semiHidden/>
    <w:unhideWhenUsed/>
  </w:style>
  <w:style w:type="table" w:styleId="6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5" w:default="1">
    <w:name w:val="No List"/>
    <w:uiPriority w:val="99"/>
    <w:semiHidden/>
    <w:unhideWhenUsed/>
  </w:style>
  <w:style w:type="table" w:styleId="656">
    <w:name w:val="Plain Table 1"/>
    <w:basedOn w:val="65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7">
    <w:name w:val="Plain Table 2"/>
    <w:basedOn w:val="654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3"/>
    <w:basedOn w:val="6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9">
    <w:name w:val="Plain Table 4"/>
    <w:basedOn w:val="6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Plain Table 5"/>
    <w:basedOn w:val="6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1">
    <w:name w:val="Grid Table 1 Light"/>
    <w:basedOn w:val="65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Grid Table 2"/>
    <w:basedOn w:val="6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3">
    <w:name w:val="Grid Table 3"/>
    <w:basedOn w:val="6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4"/>
    <w:basedOn w:val="65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5">
    <w:name w:val="Grid Table 5 Dark"/>
    <w:basedOn w:val="6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66">
    <w:name w:val="Grid Table 6 Colorful"/>
    <w:basedOn w:val="65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67">
    <w:name w:val="Grid Table 7 Colorful"/>
    <w:basedOn w:val="65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668">
    <w:name w:val="List Table 1 Light"/>
    <w:basedOn w:val="65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List Table 2"/>
    <w:basedOn w:val="65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70">
    <w:name w:val="List Table 3"/>
    <w:basedOn w:val="6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List Table 4"/>
    <w:basedOn w:val="6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5 Dark"/>
    <w:basedOn w:val="65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73">
    <w:name w:val="List Table 6 Colorful"/>
    <w:basedOn w:val="65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74">
    <w:name w:val="List Table 7 Colorful"/>
    <w:basedOn w:val="65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675" w:customStyle="1">
    <w:name w:val="Endnote Text Char"/>
    <w:uiPriority w:val="99"/>
    <w:rPr>
      <w:sz w:val="20"/>
    </w:rPr>
  </w:style>
  <w:style w:type="character" w:styleId="676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Heading 2 Char"/>
    <w:uiPriority w:val="9"/>
    <w:rPr>
      <w:rFonts w:ascii="Arial" w:hAnsi="Arial" w:eastAsia="Arial" w:cs="Arial"/>
      <w:sz w:val="34"/>
    </w:rPr>
  </w:style>
  <w:style w:type="character" w:styleId="678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5" w:customStyle="1">
    <w:name w:val="Title Char"/>
    <w:uiPriority w:val="10"/>
    <w:rPr>
      <w:sz w:val="48"/>
      <w:szCs w:val="48"/>
    </w:rPr>
  </w:style>
  <w:style w:type="character" w:styleId="686" w:customStyle="1">
    <w:name w:val="Subtitle Char"/>
    <w:uiPriority w:val="11"/>
    <w:rPr>
      <w:sz w:val="24"/>
      <w:szCs w:val="24"/>
    </w:rPr>
  </w:style>
  <w:style w:type="character" w:styleId="687" w:customStyle="1">
    <w:name w:val="Quote Char"/>
    <w:uiPriority w:val="29"/>
    <w:rPr>
      <w:i/>
    </w:rPr>
  </w:style>
  <w:style w:type="character" w:styleId="688" w:customStyle="1">
    <w:name w:val="Intense Quote Char"/>
    <w:uiPriority w:val="30"/>
    <w:rPr>
      <w:i/>
    </w:rPr>
  </w:style>
  <w:style w:type="character" w:styleId="689" w:customStyle="1">
    <w:name w:val="Header Char"/>
    <w:basedOn w:val="653"/>
    <w:uiPriority w:val="99"/>
  </w:style>
  <w:style w:type="character" w:styleId="690" w:customStyle="1">
    <w:name w:val="Footer Char"/>
    <w:basedOn w:val="653"/>
    <w:uiPriority w:val="99"/>
  </w:style>
  <w:style w:type="character" w:styleId="691" w:customStyle="1">
    <w:name w:val="Caption Char"/>
    <w:uiPriority w:val="99"/>
  </w:style>
  <w:style w:type="character" w:styleId="692" w:customStyle="1">
    <w:name w:val="Footnote Text Char"/>
    <w:uiPriority w:val="99"/>
    <w:rPr>
      <w:sz w:val="18"/>
    </w:rPr>
  </w:style>
  <w:style w:type="paragraph" w:styleId="693">
    <w:name w:val="endnote text"/>
    <w:basedOn w:val="643"/>
    <w:link w:val="694"/>
    <w:uiPriority w:val="99"/>
    <w:semiHidden/>
    <w:unhideWhenUsed/>
  </w:style>
  <w:style w:type="character" w:styleId="694" w:customStyle="1">
    <w:name w:val="Текст концевой сноски Знак"/>
    <w:link w:val="693"/>
    <w:uiPriority w:val="99"/>
    <w:rPr>
      <w:sz w:val="20"/>
    </w:rPr>
  </w:style>
  <w:style w:type="character" w:styleId="695">
    <w:name w:val="endnote reference"/>
    <w:uiPriority w:val="99"/>
    <w:semiHidden/>
    <w:unhideWhenUsed/>
    <w:rPr>
      <w:vertAlign w:val="superscript"/>
    </w:rPr>
  </w:style>
  <w:style w:type="paragraph" w:styleId="696">
    <w:name w:val="table of figures"/>
    <w:basedOn w:val="643"/>
    <w:next w:val="643"/>
    <w:uiPriority w:val="99"/>
    <w:unhideWhenUsed/>
  </w:style>
  <w:style w:type="character" w:styleId="697" w:customStyle="1">
    <w:name w:val="Заголовок 1 Знак"/>
    <w:link w:val="644"/>
    <w:uiPriority w:val="9"/>
    <w:rPr>
      <w:rFonts w:ascii="Arial" w:hAnsi="Arial" w:eastAsia="Arial"/>
      <w:sz w:val="40"/>
      <w:szCs w:val="40"/>
      <w:lang w:bidi="ar-SA"/>
    </w:rPr>
  </w:style>
  <w:style w:type="character" w:styleId="698" w:customStyle="1">
    <w:name w:val="Заголовок 2 Знак"/>
    <w:link w:val="645"/>
    <w:uiPriority w:val="9"/>
    <w:rPr>
      <w:rFonts w:ascii="Arial" w:hAnsi="Arial" w:eastAsia="Arial"/>
      <w:sz w:val="34"/>
      <w:lang w:bidi="ar-SA"/>
    </w:rPr>
  </w:style>
  <w:style w:type="character" w:styleId="699" w:customStyle="1">
    <w:name w:val="Заголовок 3 Знак"/>
    <w:link w:val="646"/>
    <w:uiPriority w:val="9"/>
    <w:rPr>
      <w:rFonts w:ascii="Arial" w:hAnsi="Arial" w:eastAsia="Arial"/>
      <w:sz w:val="30"/>
      <w:szCs w:val="30"/>
      <w:lang w:bidi="ar-SA"/>
    </w:rPr>
  </w:style>
  <w:style w:type="character" w:styleId="700" w:customStyle="1">
    <w:name w:val="Заголовок 4 Знак"/>
    <w:link w:val="64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01" w:customStyle="1">
    <w:name w:val="Заголовок 5 Знак"/>
    <w:link w:val="64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02" w:customStyle="1">
    <w:name w:val="Заголовок 6 Знак"/>
    <w:link w:val="64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3" w:customStyle="1">
    <w:name w:val="Заголовок 7 Знак"/>
    <w:link w:val="65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04" w:customStyle="1">
    <w:name w:val="Заголовок 8 Знак"/>
    <w:link w:val="65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05" w:customStyle="1">
    <w:name w:val="Заголовок 9 Знак"/>
    <w:link w:val="65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06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0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8">
    <w:name w:val="Title"/>
    <w:link w:val="70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09" w:customStyle="1">
    <w:name w:val="Заголовок Знак"/>
    <w:link w:val="708"/>
    <w:uiPriority w:val="10"/>
    <w:rPr>
      <w:sz w:val="48"/>
      <w:szCs w:val="48"/>
      <w:lang w:bidi="ar-SA"/>
    </w:rPr>
  </w:style>
  <w:style w:type="paragraph" w:styleId="710">
    <w:name w:val="Subtitle"/>
    <w:link w:val="71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11" w:customStyle="1">
    <w:name w:val="Подзаголовок Знак"/>
    <w:link w:val="710"/>
    <w:uiPriority w:val="11"/>
    <w:rPr>
      <w:sz w:val="24"/>
      <w:szCs w:val="24"/>
      <w:lang w:bidi="ar-SA"/>
    </w:rPr>
  </w:style>
  <w:style w:type="paragraph" w:styleId="712">
    <w:name w:val="Quote"/>
    <w:link w:val="71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13" w:customStyle="1">
    <w:name w:val="Цитата 2 Знак"/>
    <w:link w:val="712"/>
    <w:uiPriority w:val="29"/>
    <w:rPr>
      <w:i/>
      <w:lang w:val="ru-RU" w:eastAsia="ru-RU" w:bidi="ar-SA"/>
    </w:rPr>
  </w:style>
  <w:style w:type="paragraph" w:styleId="714">
    <w:name w:val="Intense Quote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  <w:shd w:val="clear" w:color="auto" w:fill="f2f2f2"/>
      <w:lang w:val="ru-RU" w:eastAsia="ru-RU" w:bidi="ar-SA"/>
    </w:rPr>
  </w:style>
  <w:style w:type="paragraph" w:styleId="716">
    <w:name w:val="Header"/>
    <w:basedOn w:val="643"/>
    <w:link w:val="71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17" w:customStyle="1">
    <w:name w:val="Верхний колонтитул Знак"/>
    <w:link w:val="716"/>
    <w:uiPriority w:val="99"/>
  </w:style>
  <w:style w:type="paragraph" w:styleId="718">
    <w:name w:val="Footer"/>
    <w:basedOn w:val="643"/>
    <w:link w:val="719"/>
    <w:uiPriority w:val="99"/>
    <w:pPr>
      <w:tabs>
        <w:tab w:val="center" w:pos="4153" w:leader="none"/>
        <w:tab w:val="right" w:pos="8306" w:leader="none"/>
      </w:tabs>
    </w:pPr>
  </w:style>
  <w:style w:type="character" w:styleId="719" w:customStyle="1">
    <w:name w:val="Нижний колонтитул Знак"/>
    <w:link w:val="718"/>
    <w:uiPriority w:val="99"/>
  </w:style>
  <w:style w:type="table" w:styleId="72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46">
    <w:name w:val="Hyperlink"/>
    <w:uiPriority w:val="99"/>
    <w:unhideWhenUsed/>
    <w:rPr>
      <w:color w:val="0000ff"/>
      <w:u w:val="single"/>
    </w:rPr>
  </w:style>
  <w:style w:type="paragraph" w:styleId="847">
    <w:name w:val="footnote text"/>
    <w:link w:val="84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48" w:customStyle="1">
    <w:name w:val="Текст сноски Знак"/>
    <w:link w:val="847"/>
    <w:uiPriority w:val="99"/>
    <w:semiHidden/>
    <w:rPr>
      <w:sz w:val="18"/>
      <w:lang w:bidi="ar-SA"/>
    </w:rPr>
  </w:style>
  <w:style w:type="character" w:styleId="849">
    <w:name w:val="footnote reference"/>
    <w:uiPriority w:val="99"/>
    <w:unhideWhenUsed/>
    <w:rPr>
      <w:vertAlign w:val="superscript"/>
    </w:rPr>
  </w:style>
  <w:style w:type="paragraph" w:styleId="85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0">
    <w:name w:val="Body Text"/>
    <w:basedOn w:val="643"/>
    <w:next w:val="643"/>
    <w:pPr>
      <w:jc w:val="both"/>
    </w:pPr>
    <w:rPr>
      <w:sz w:val="22"/>
    </w:rPr>
  </w:style>
  <w:style w:type="character" w:styleId="861">
    <w:name w:val="page number"/>
    <w:basedOn w:val="653"/>
  </w:style>
  <w:style w:type="paragraph" w:styleId="862">
    <w:name w:val="Caption"/>
    <w:basedOn w:val="643"/>
    <w:next w:val="643"/>
    <w:pPr>
      <w:jc w:val="center"/>
    </w:pPr>
    <w:rPr>
      <w:b/>
      <w:sz w:val="28"/>
    </w:rPr>
  </w:style>
  <w:style w:type="paragraph" w:styleId="863">
    <w:name w:val="Body Text 2"/>
    <w:basedOn w:val="643"/>
    <w:pPr>
      <w:ind w:right="5102"/>
      <w:jc w:val="center"/>
      <w:spacing w:before="120"/>
    </w:pPr>
  </w:style>
  <w:style w:type="paragraph" w:styleId="864" w:customStyle="1">
    <w:name w:val="Обращение"/>
    <w:basedOn w:val="643"/>
    <w:next w:val="643"/>
    <w:pPr>
      <w:jc w:val="center"/>
      <w:spacing w:before="240" w:after="120"/>
    </w:pPr>
    <w:rPr>
      <w:b/>
    </w:rPr>
  </w:style>
  <w:style w:type="paragraph" w:styleId="865" w:customStyle="1">
    <w:name w:val="Адресные реквизиты"/>
    <w:basedOn w:val="860"/>
    <w:next w:val="860"/>
    <w:pPr>
      <w:jc w:val="left"/>
    </w:pPr>
    <w:rPr>
      <w:sz w:val="16"/>
    </w:rPr>
  </w:style>
  <w:style w:type="paragraph" w:styleId="866" w:customStyle="1">
    <w:name w:val="Адресат"/>
    <w:basedOn w:val="643"/>
    <w:pPr>
      <w:spacing w:before="120"/>
    </w:pPr>
    <w:rPr>
      <w:b/>
    </w:rPr>
  </w:style>
  <w:style w:type="paragraph" w:styleId="867">
    <w:name w:val="Body Text 3"/>
    <w:basedOn w:val="643"/>
    <w:pPr>
      <w:spacing w:before="120"/>
      <w:tabs>
        <w:tab w:val="left" w:pos="7371" w:leader="none"/>
      </w:tabs>
    </w:pPr>
    <w:rPr>
      <w:sz w:val="28"/>
    </w:rPr>
  </w:style>
  <w:style w:type="paragraph" w:styleId="868">
    <w:name w:val="Balloon Text"/>
    <w:basedOn w:val="643"/>
    <w:link w:val="869"/>
    <w:uiPriority w:val="99"/>
    <w:semiHidden/>
    <w:unhideWhenUsed/>
    <w:rPr>
      <w:rFonts w:ascii="Tahoma" w:hAnsi="Tahoma"/>
      <w:sz w:val="16"/>
      <w:szCs w:val="16"/>
    </w:rPr>
  </w:style>
  <w:style w:type="character" w:styleId="869" w:customStyle="1">
    <w:name w:val="Текст выноски Знак"/>
    <w:link w:val="868"/>
    <w:uiPriority w:val="99"/>
    <w:semiHidden/>
    <w:rPr>
      <w:rFonts w:ascii="Tahoma" w:hAnsi="Tahoma" w:cs="Tahoma"/>
      <w:sz w:val="16"/>
      <w:szCs w:val="16"/>
    </w:rPr>
  </w:style>
  <w:style w:type="paragraph" w:styleId="87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1">
    <w:name w:val="Body Text Indent"/>
    <w:basedOn w:val="643"/>
    <w:link w:val="872"/>
    <w:uiPriority w:val="99"/>
    <w:semiHidden/>
    <w:unhideWhenUsed/>
    <w:pPr>
      <w:ind w:left="283"/>
      <w:spacing w:after="120"/>
    </w:pPr>
  </w:style>
  <w:style w:type="character" w:styleId="872" w:customStyle="1">
    <w:name w:val="Основной текст с отступом Знак"/>
    <w:link w:val="871"/>
    <w:uiPriority w:val="99"/>
    <w:semiHidden/>
    <w:rPr>
      <w:sz w:val="22"/>
      <w:szCs w:val="22"/>
      <w:lang w:eastAsia="en-US" w:bidi="en-US"/>
    </w:rPr>
  </w:style>
  <w:style w:type="paragraph" w:styleId="873" w:customStyle="1">
    <w:name w:val="Заголовок 11"/>
    <w:basedOn w:val="718"/>
    <w:next w:val="718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74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consultantplus://offline/ref=B0A61E52BC96F88F0C3D730ACCD745A2D8F7B0B62CBC8D63CE95638402A8BE68DF6D4F4245187CC2wBx5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21B83-2B90-4088-A2A7-22BE7EE9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Палухин Павел Николаевич</dc:creator>
  <cp:revision>6</cp:revision>
  <dcterms:created xsi:type="dcterms:W3CDTF">2026-08-20T08:39:00Z</dcterms:created>
  <dcterms:modified xsi:type="dcterms:W3CDTF">2026-08-21T02:50:31Z</dcterms:modified>
</cp:coreProperties>
</file>