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FBE" w:rsidRPr="00865FBE" w:rsidRDefault="00865FBE">
      <w:pPr>
        <w:pStyle w:val="ConsPlusNormal"/>
        <w:outlineLvl w:val="0"/>
        <w:rPr>
          <w:rFonts w:ascii="PT Astra Serif" w:hAnsi="PT Astra Serif"/>
        </w:rPr>
      </w:pPr>
      <w:r w:rsidRPr="00865FBE">
        <w:rPr>
          <w:rFonts w:ascii="PT Astra Serif" w:hAnsi="PT Astra Serif"/>
        </w:rPr>
        <w:t>Зарегистрировано в Минюсте РФ 4 октября 2010 г. N 18608</w:t>
      </w:r>
    </w:p>
    <w:p w:rsidR="00865FBE" w:rsidRPr="00865FBE" w:rsidRDefault="00865FBE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865FBE" w:rsidRPr="00865FBE" w:rsidRDefault="00865FBE">
      <w:pPr>
        <w:pStyle w:val="ConsPlusNormal"/>
        <w:rPr>
          <w:rFonts w:ascii="PT Astra Serif" w:hAnsi="PT Astra Serif"/>
        </w:rPr>
      </w:pP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МИНИСТЕРСТВО ЗДРАВООХРАНЕНИЯ И СОЦИАЛЬНОГО РАЗВИТИЯ</w:t>
      </w: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РОССИЙСКОЙ ФЕДЕРАЦИИ</w:t>
      </w: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ПРИКАЗ</w:t>
      </w: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23 августа 2010 г. N 706н</w:t>
      </w: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ОБ УТВЕРЖДЕНИИ ПРАВИЛ ХРАНЕНИЯ ЛЕКАРСТВЕННЫХ СРЕДСТВ</w:t>
      </w:r>
    </w:p>
    <w:p w:rsidR="00865FBE" w:rsidRPr="00865FBE" w:rsidRDefault="00865FBE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65FBE" w:rsidRPr="00865FB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65FBE" w:rsidRPr="00865FBE" w:rsidRDefault="00865FB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65FBE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865FBE" w:rsidRPr="00865FBE" w:rsidRDefault="00865FB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65FBE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4">
              <w:r w:rsidRPr="00865FBE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865FBE">
              <w:rPr>
                <w:rFonts w:ascii="PT Astra Serif" w:hAnsi="PT Astra Serif"/>
                <w:color w:val="392C69"/>
              </w:rPr>
              <w:t xml:space="preserve"> Минздравсоцразвития РФ от 28.12.2010 N 1221н)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bookmarkStart w:id="0" w:name="_GoBack"/>
      <w:r w:rsidRPr="00865FBE">
        <w:rPr>
          <w:rFonts w:ascii="PT Astra Serif" w:hAnsi="PT Astra Serif"/>
        </w:rPr>
        <w:t xml:space="preserve">В соответствии со </w:t>
      </w:r>
      <w:hyperlink r:id="rId5">
        <w:r w:rsidRPr="00865FBE">
          <w:rPr>
            <w:rFonts w:ascii="PT Astra Serif" w:hAnsi="PT Astra Serif"/>
            <w:color w:val="0000FF"/>
          </w:rPr>
          <w:t>статьей 58</w:t>
        </w:r>
      </w:hyperlink>
      <w:r w:rsidRPr="00865FBE">
        <w:rPr>
          <w:rFonts w:ascii="PT Astra Serif" w:hAnsi="PT Astra Serif"/>
        </w:rPr>
        <w:t xml:space="preserve"> Федерального закона от 12 апреля 2010 г. N 61-ФЗ "Об обращении лекарственных средств" (Собрание законодательства Российской Федерации, 2010, N 16, ст. 1815; N 31, ст. 4161) приказываю: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1. Утвердить </w:t>
      </w:r>
      <w:hyperlink w:anchor="P33">
        <w:r w:rsidRPr="00865FBE">
          <w:rPr>
            <w:rFonts w:ascii="PT Astra Serif" w:hAnsi="PT Astra Serif"/>
            <w:color w:val="0000FF"/>
          </w:rPr>
          <w:t>Правила</w:t>
        </w:r>
      </w:hyperlink>
      <w:r w:rsidRPr="00865FBE">
        <w:rPr>
          <w:rFonts w:ascii="PT Astra Serif" w:hAnsi="PT Astra Serif"/>
        </w:rPr>
        <w:t xml:space="preserve"> хранения лекарственных средств согласно приложению.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2. Признать утратившими силу: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6">
        <w:r w:rsidRPr="00865FBE">
          <w:rPr>
            <w:rFonts w:ascii="PT Astra Serif" w:hAnsi="PT Astra Serif"/>
            <w:color w:val="0000FF"/>
          </w:rPr>
          <w:t>разделы 1</w:t>
        </w:r>
      </w:hyperlink>
      <w:r w:rsidRPr="00865FBE">
        <w:rPr>
          <w:rFonts w:ascii="PT Astra Serif" w:hAnsi="PT Astra Serif"/>
        </w:rPr>
        <w:t xml:space="preserve"> и </w:t>
      </w:r>
      <w:hyperlink r:id="rId7">
        <w:r w:rsidRPr="00865FBE">
          <w:rPr>
            <w:rFonts w:ascii="PT Astra Serif" w:hAnsi="PT Astra Serif"/>
            <w:color w:val="0000FF"/>
          </w:rPr>
          <w:t>2</w:t>
        </w:r>
      </w:hyperlink>
      <w:r w:rsidRPr="00865FBE">
        <w:rPr>
          <w:rFonts w:ascii="PT Astra Serif" w:hAnsi="PT Astra Serif"/>
        </w:rPr>
        <w:t xml:space="preserve">, </w:t>
      </w:r>
      <w:hyperlink r:id="rId8">
        <w:r w:rsidRPr="00865FBE">
          <w:rPr>
            <w:rFonts w:ascii="PT Astra Serif" w:hAnsi="PT Astra Serif"/>
            <w:color w:val="0000FF"/>
          </w:rPr>
          <w:t>пункты 3.1</w:t>
        </w:r>
      </w:hyperlink>
      <w:r w:rsidRPr="00865FBE">
        <w:rPr>
          <w:rFonts w:ascii="PT Astra Serif" w:hAnsi="PT Astra Serif"/>
        </w:rPr>
        <w:t xml:space="preserve"> - </w:t>
      </w:r>
      <w:hyperlink r:id="rId9">
        <w:r w:rsidRPr="00865FBE">
          <w:rPr>
            <w:rFonts w:ascii="PT Astra Serif" w:hAnsi="PT Astra Serif"/>
            <w:color w:val="0000FF"/>
          </w:rPr>
          <w:t>3.4</w:t>
        </w:r>
      </w:hyperlink>
      <w:r w:rsidRPr="00865FBE">
        <w:rPr>
          <w:rFonts w:ascii="PT Astra Serif" w:hAnsi="PT Astra Serif"/>
        </w:rPr>
        <w:t xml:space="preserve">, </w:t>
      </w:r>
      <w:hyperlink r:id="rId10">
        <w:r w:rsidRPr="00865FBE">
          <w:rPr>
            <w:rFonts w:ascii="PT Astra Serif" w:hAnsi="PT Astra Serif"/>
            <w:color w:val="0000FF"/>
          </w:rPr>
          <w:t>3.6</w:t>
        </w:r>
      </w:hyperlink>
      <w:r w:rsidRPr="00865FBE">
        <w:rPr>
          <w:rFonts w:ascii="PT Astra Serif" w:hAnsi="PT Astra Serif"/>
        </w:rPr>
        <w:t xml:space="preserve"> и </w:t>
      </w:r>
      <w:hyperlink r:id="rId11">
        <w:r w:rsidRPr="00865FBE">
          <w:rPr>
            <w:rFonts w:ascii="PT Astra Serif" w:hAnsi="PT Astra Serif"/>
            <w:color w:val="0000FF"/>
          </w:rPr>
          <w:t>3.7 раздела 3</w:t>
        </w:r>
      </w:hyperlink>
      <w:r w:rsidRPr="00865FBE">
        <w:rPr>
          <w:rFonts w:ascii="PT Astra Serif" w:hAnsi="PT Astra Serif"/>
        </w:rPr>
        <w:t xml:space="preserve">, </w:t>
      </w:r>
      <w:hyperlink r:id="rId12">
        <w:r w:rsidRPr="00865FBE">
          <w:rPr>
            <w:rFonts w:ascii="PT Astra Serif" w:hAnsi="PT Astra Serif"/>
            <w:color w:val="0000FF"/>
          </w:rPr>
          <w:t>разделы 4</w:t>
        </w:r>
      </w:hyperlink>
      <w:r w:rsidRPr="00865FBE">
        <w:rPr>
          <w:rFonts w:ascii="PT Astra Serif" w:hAnsi="PT Astra Serif"/>
        </w:rPr>
        <w:t xml:space="preserve"> - </w:t>
      </w:r>
      <w:hyperlink r:id="rId13">
        <w:r w:rsidRPr="00865FBE">
          <w:rPr>
            <w:rFonts w:ascii="PT Astra Serif" w:hAnsi="PT Astra Serif"/>
            <w:color w:val="0000FF"/>
          </w:rPr>
          <w:t>7</w:t>
        </w:r>
      </w:hyperlink>
      <w:r w:rsidRPr="00865FBE">
        <w:rPr>
          <w:rFonts w:ascii="PT Astra Serif" w:hAnsi="PT Astra Serif"/>
        </w:rPr>
        <w:t xml:space="preserve">, </w:t>
      </w:r>
      <w:hyperlink r:id="rId14">
        <w:r w:rsidRPr="00865FBE">
          <w:rPr>
            <w:rFonts w:ascii="PT Astra Serif" w:hAnsi="PT Astra Serif"/>
            <w:color w:val="0000FF"/>
          </w:rPr>
          <w:t>12</w:t>
        </w:r>
      </w:hyperlink>
      <w:r w:rsidRPr="00865FBE">
        <w:rPr>
          <w:rFonts w:ascii="PT Astra Serif" w:hAnsi="PT Astra Serif"/>
        </w:rPr>
        <w:t xml:space="preserve"> и </w:t>
      </w:r>
      <w:hyperlink r:id="rId15">
        <w:r w:rsidRPr="00865FBE">
          <w:rPr>
            <w:rFonts w:ascii="PT Astra Serif" w:hAnsi="PT Astra Serif"/>
            <w:color w:val="0000FF"/>
          </w:rPr>
          <w:t>13</w:t>
        </w:r>
      </w:hyperlink>
      <w:r w:rsidRPr="00865FBE">
        <w:rPr>
          <w:rFonts w:ascii="PT Astra Serif" w:hAnsi="PT Astra Serif"/>
        </w:rPr>
        <w:t xml:space="preserve"> Инструкции по организации хранения в аптечных учреждениях различных групп лекарственных средств и изделий медицинского назначения, утвержденной Приказом Министерства здравоохранения Российской Федерации от 13 ноября 1996 г. N 377 "Об утверждении требований к организации хранения в аптечных учреждениях различных групп лекарственных средств и изделий медицинского назначения" (зарегистрирован Минюстом России 22 ноября 1996 г. N 1202).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Министр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Т.А.ГОЛИКОВА</w:t>
      </w:r>
    </w:p>
    <w:bookmarkEnd w:id="0"/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right"/>
        <w:outlineLvl w:val="0"/>
        <w:rPr>
          <w:rFonts w:ascii="PT Astra Serif" w:hAnsi="PT Astra Serif"/>
        </w:rPr>
      </w:pPr>
      <w:r w:rsidRPr="00865FBE">
        <w:rPr>
          <w:rFonts w:ascii="PT Astra Serif" w:hAnsi="PT Astra Serif"/>
        </w:rPr>
        <w:t>Приложение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к Приказу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Министерства здравоохранения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и социального развития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Российской Федерации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23 августа 2010 г. N 706н</w:t>
      </w:r>
    </w:p>
    <w:p w:rsidR="00865FBE" w:rsidRPr="00865FBE" w:rsidRDefault="00865FBE">
      <w:pPr>
        <w:pStyle w:val="ConsPlusNormal"/>
        <w:jc w:val="right"/>
        <w:rPr>
          <w:rFonts w:ascii="PT Astra Serif" w:hAnsi="PT Astra Serif"/>
        </w:rPr>
      </w:pPr>
    </w:p>
    <w:p w:rsidR="00865FBE" w:rsidRPr="00865FBE" w:rsidRDefault="00865FBE">
      <w:pPr>
        <w:pStyle w:val="ConsPlusTitle"/>
        <w:jc w:val="center"/>
        <w:rPr>
          <w:rFonts w:ascii="PT Astra Serif" w:hAnsi="PT Astra Serif"/>
        </w:rPr>
      </w:pPr>
      <w:bookmarkStart w:id="1" w:name="P33"/>
      <w:bookmarkEnd w:id="1"/>
      <w:r w:rsidRPr="00865FBE">
        <w:rPr>
          <w:rFonts w:ascii="PT Astra Serif" w:hAnsi="PT Astra Serif"/>
        </w:rPr>
        <w:t>ПРАВИЛА ХРАНЕНИЯ ЛЕКАРСТВЕННЫХ СРЕДСТВ</w:t>
      </w:r>
    </w:p>
    <w:p w:rsidR="00865FBE" w:rsidRPr="00865FBE" w:rsidRDefault="00865FBE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65FBE" w:rsidRPr="00865FB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65FBE" w:rsidRPr="00865FBE" w:rsidRDefault="00865FB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65FBE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865FBE" w:rsidRPr="00865FBE" w:rsidRDefault="00865FB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65FBE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16">
              <w:r w:rsidRPr="00865FBE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865FBE">
              <w:rPr>
                <w:rFonts w:ascii="PT Astra Serif" w:hAnsi="PT Astra Serif"/>
                <w:color w:val="392C69"/>
              </w:rPr>
              <w:t xml:space="preserve"> Минздравсоцразвития РФ от 28.12.2010 N 1221н)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1"/>
        <w:rPr>
          <w:rFonts w:ascii="PT Astra Serif" w:hAnsi="PT Astra Serif"/>
        </w:rPr>
      </w:pPr>
      <w:r w:rsidRPr="00865FBE">
        <w:rPr>
          <w:rFonts w:ascii="PT Astra Serif" w:hAnsi="PT Astra Serif"/>
        </w:rPr>
        <w:t>I. Общие положения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1. Настоящие Правила устанавливают требования к помещениям для хранения лекарственных средств для медицинского применения (далее - лекарственные средства), регламентируют условия хранения указанных лекарственных средств и распространяются на производителей лекарственных средств, организации оптовой торговли лекарственными средствами, аптечные организации, медицинские и иные организации, осуществляющие деятельность при обращении лекарственных средств, индивидуальных предпринимателей, имеющих лицензию на фармацевтическую </w:t>
      </w:r>
      <w:r w:rsidRPr="00865FBE">
        <w:rPr>
          <w:rFonts w:ascii="PT Astra Serif" w:hAnsi="PT Astra Serif"/>
        </w:rPr>
        <w:lastRenderedPageBreak/>
        <w:t>деятельность или лицензию на медицинскую деятельность (далее соответственно - организации, индивидуальные предприниматели).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1"/>
        <w:rPr>
          <w:rFonts w:ascii="PT Astra Serif" w:hAnsi="PT Astra Serif"/>
        </w:rPr>
      </w:pPr>
      <w:r w:rsidRPr="00865FBE">
        <w:rPr>
          <w:rFonts w:ascii="PT Astra Serif" w:hAnsi="PT Astra Serif"/>
        </w:rPr>
        <w:t>II. Общие требования к устройству и эксплуатации помещений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хранения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2. Устройство, состав, размеры площадей (для производителей лекарственных средств, организаций оптовой торговли лекарственными средствами), эксплуатация и оборудование помещений для хранения лекарственных средств должны обеспечивать их сохранность.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(п. 2 в ред. </w:t>
      </w:r>
      <w:hyperlink r:id="rId17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3. В помещениях для хранения лекарственных средств должны поддерживаться определенные температура и влажность воздуха, позволяющие обеспечить хранение лекарственных средств в соответствии с указанными на первичной и вторичной (потребительской) упаковке требованиями производителей лекарственных средств.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4. Помещения для хранения лекарственных средств должны быть оборудованы кондиционерами и другим оборудованием, позволяющим обеспечить хранение лекарственных средств в соответствии с указанными на первичной и вторичной (потребительской) упаковке требованиями производителей лекарственных средств, либо помещения рекомендуется оборудовать форточками, фрамугами, вторыми решетчатыми дверьми.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5. Помещения для хранения лекарственных средств должны быть обеспечены стеллажами, шкафами, поддонами, подтоварниками.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6. Отделка помещений для хранения лекарственных средств (внутренние поверхности стен, потолков) должна быть гладкой и допускать возможность проведения влажной уборки.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1"/>
        <w:rPr>
          <w:rFonts w:ascii="PT Astra Serif" w:hAnsi="PT Astra Serif"/>
        </w:rPr>
      </w:pPr>
      <w:r w:rsidRPr="00865FBE">
        <w:rPr>
          <w:rFonts w:ascii="PT Astra Serif" w:hAnsi="PT Astra Serif"/>
        </w:rPr>
        <w:t>III. Общие требования к помещениям для хранения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лекарственных средств и организации их хранения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7. Помещения для хранения лекарственных средств должны быть оснащены приборами для регистрации параметров воздуха (термометрами, гигрометрами (электронными гигрометрами) или психрометрами). Измерительные части этих приборов должны размещаться на расстоянии не менее 3 м от дверей, окон и отопительных приборов. Приборы и (или) части приборов, с которых производится визуальное считывание показаний, должны располагаться в доступном для персонала месте на высоте 1,5 - 1,7 м от пола.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Показания этих приборов должны ежедневно регистрироваться в специальном журнале (карте) регистрации на бумажном носителе или в электронном виде с архивацией (для электронных гигрометров), который ведется ответственным лицом. Журнал (карта) регистрации хранится в течение одного года, не считая текущего. Контролирующие приборы должны быть сертифицированы, калиброваны и подвергаться поверке в установленном порядке.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8. В помещениях для хранения лекарственные средства размещают в соответствии с требованиями нормативной документации, указанной на упаковке лекарственного препарата, с учетом: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физико-химических свойств лекарственных средств;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фармакологических групп (для аптечных и медицинских организаций);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способа применения (внутреннее, наружное);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агрегатного состояния фармацевтических субстанций (жидкие, сыпучие, газообразные).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При размещении лекарственных средств допускается использование компьютерных технологий (по алфавитному принципу, по кодам).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lastRenderedPageBreak/>
        <w:t xml:space="preserve">9. Отдельно, в технически укрепленных помещениях, соответствующих требованиям Федерального </w:t>
      </w:r>
      <w:hyperlink r:id="rId18">
        <w:r w:rsidRPr="00865FBE">
          <w:rPr>
            <w:rFonts w:ascii="PT Astra Serif" w:hAnsi="PT Astra Serif"/>
            <w:color w:val="0000FF"/>
          </w:rPr>
          <w:t>закона</w:t>
        </w:r>
      </w:hyperlink>
      <w:r w:rsidRPr="00865FBE">
        <w:rPr>
          <w:rFonts w:ascii="PT Astra Serif" w:hAnsi="PT Astra Serif"/>
        </w:rPr>
        <w:t xml:space="preserve"> от 8 января 1998 г. N 3-ФЗ "О наркотических средствах и психотропных веществах" (Собрание законодательства Российской Федерации, 1998, N 2, ст. 219; 2002, N 30, ст. 3033; 2003, N 2, ст. 167, N 27 (ч. I), ст. 2700; 2005, N 19, ст. 1752; 2006, N 43, ст. 4412; 2007, N 30, ст. 3748, N 31, ст. 4011; 2008, N 52 (ч. I), ст. 6233; 2009, N 29, ст. 3614; 2010, N 21, ст. 2525, N 31, ст. 4192), хранятся: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наркотические и психотропные лекарственные средства;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сильнодействующие и ядовитые лекарственные средства, находящиеся под контролем в соответствии с международными правовыми нормами.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10. Стеллажи (шкафы) для хранения лекарственных средств в помещениях для хранения лекарственных средств должны быть установлены таким образом, чтобы обеспечить доступ к лекарственным средствам, свободный проход персонала и, при необходимости, погрузочных устройств, а также доступность стеллажей, стен, пола для уборки.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Стеллажи, шкафы, полки, предназначенные для хранения лекарственных средств, должны быть идентифицированы.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(в ред. </w:t>
      </w:r>
      <w:hyperlink r:id="rId19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Хранящиеся лекарственные средства должны быть также идентифицированы с помощью стеллажной карты, содержащей информацию о хранящемся лекарственном средстве (наименование, форма выпуска и дозировка, номер серии, срок годности, производитель лекарственного средства). При использовании компьютерных технологий допускается идентификация при помощи кодов и электронных устройств.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11. В организациях и у индивидуальных предпринимателей необходимо вести учет лекарственных средств с ограниченным сроком годности на бумажном носителе или в электронном виде с архивацией. Контроль за своевременной реализацией лекарственных средств с ограниченным сроком годности должен осуществляться с использованием компьютерных технологий, стеллажных карт с указанием наименования лекарственного средства, серии, срока годности либо журналов учета сроков годности. Порядок ведения учета указанных лекарственных средств устанавливается руководителем организации или индивидуальным предпринимателем.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12. При выявлении лекарственных средств с истекшим сроком годности они должны храниться отдельно от других групп лекарственных средств в специально выделенной и обозначенной (карантинной) зоне.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1"/>
        <w:rPr>
          <w:rFonts w:ascii="PT Astra Serif" w:hAnsi="PT Astra Serif"/>
        </w:rPr>
      </w:pPr>
      <w:r w:rsidRPr="00865FBE">
        <w:rPr>
          <w:rFonts w:ascii="PT Astra Serif" w:hAnsi="PT Astra Serif"/>
        </w:rPr>
        <w:t>IV. Требования к помещениям для хранения огнеопасных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и взрывоопасных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и организации их хранения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13. Помещения для хранения огнеопасных и взрывоопасных лекарственных средств должны полностью соответствовать действующим нормативным документам.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14. Помещения для хранения лекарственных средств в организациях оптовой торговли лекарственными средствами и у производителей лекарственных средств (далее - складские помещения) разбиваются на отдельные помещения (отсеки) с пределом огнестойкости строительных конструкций не менее 1 часа с целью обеспечения хранения огнеопасных и взрывоопасных лекарственных средств по принципу однородности в соответствии с их физико-химическими, пожароопасными свойствами и характером упаковки.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(п. 14 в ред. </w:t>
      </w:r>
      <w:hyperlink r:id="rId20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15. Необходимое для фасовки и изготовления лекарственных препаратов для медицинского применения на одну рабочую смену количество огнеопасных лекарственных средств допускается содержать в производственных и иных помещениях. Оставшееся количество огнеопасных лекарственных средств по окончании работы в конце смены передается следующей смене или </w:t>
      </w:r>
      <w:r w:rsidRPr="00865FBE">
        <w:rPr>
          <w:rFonts w:ascii="PT Astra Serif" w:hAnsi="PT Astra Serif"/>
        </w:rPr>
        <w:lastRenderedPageBreak/>
        <w:t>возвращается на место основного хранения.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16. Полы складских помещений и разгрузочных площадок должны иметь твердое, ровное покрытие. Запрещается применять доски и железные листы для выравнивания полов. Полы должны обеспечивать удобное и безопасное передвижение людей, грузов и транспортных средств, обладать достаточной прочностью и выдерживать нагрузки от хранимых материалов, обеспечивать простоту и легкость уборки складского помещения.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17. Складские помещения для хранения огнеопасных и взрывоопасных лекарственных средств должны быть оборудованы несгораемыми и устойчивыми стеллажами и поддонами, рассчитанными на соответствующую нагрузку. Стеллажи устанавливаются на расстоянии 0,25 м от пола и стен, ширина стеллажей не должна превышать 1 м и иметь, в случае хранения фармацевтических субстанций, </w:t>
      </w:r>
      <w:proofErr w:type="spellStart"/>
      <w:r w:rsidRPr="00865FBE">
        <w:rPr>
          <w:rFonts w:ascii="PT Astra Serif" w:hAnsi="PT Astra Serif"/>
        </w:rPr>
        <w:t>отбортовки</w:t>
      </w:r>
      <w:proofErr w:type="spellEnd"/>
      <w:r w:rsidRPr="00865FBE">
        <w:rPr>
          <w:rFonts w:ascii="PT Astra Serif" w:hAnsi="PT Astra Serif"/>
        </w:rPr>
        <w:t xml:space="preserve"> не менее 0,25 м. Продольные проходы между стеллажами должны быть не менее 1,35 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18. В аптечных организациях и у индивидуальных предпринимателей выделяются изолированные помещения, оборудуемые средствами автоматической пожарной защиты и сигнализацией, для хранения огнеопасных фармацевтических субстанций и взрывоопасных лекарственных средств.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(п. 18 в ред. </w:t>
      </w:r>
      <w:hyperlink r:id="rId21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19. В аптечных организациях и у индивидуальных предпринимателей допускается хранение фармацевтических субстанций, обладающих легковоспламеняющимися и горючими свойствами, в объеме до 10 кг вне помещений для хранения огнеопасных фармацевтических субстанций и взрывоопасных лекарственных средств во встроенных несгораемых шкафах. Шкафы должны быть удалены от </w:t>
      </w:r>
      <w:proofErr w:type="spellStart"/>
      <w:r w:rsidRPr="00865FBE">
        <w:rPr>
          <w:rFonts w:ascii="PT Astra Serif" w:hAnsi="PT Astra Serif"/>
        </w:rPr>
        <w:t>тепловыводящих</w:t>
      </w:r>
      <w:proofErr w:type="spellEnd"/>
      <w:r w:rsidRPr="00865FBE">
        <w:rPr>
          <w:rFonts w:ascii="PT Astra Serif" w:hAnsi="PT Astra Serif"/>
        </w:rPr>
        <w:t xml:space="preserve"> поверхностей и проходов, с дверьми шириной не менее 0,7 м и высотой не менее 1,2 м. К ним должен быть организован свободный доступ.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(в ред. </w:t>
      </w:r>
      <w:hyperlink r:id="rId22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Допускается хранение взрывоопасных лекарственных препаратов для медицинского применения (во вторичной (потребительской) упаковке) для использования на одну рабочую смену в металлических шкафах вне помещений для хранения огнеопасных фармацевтических субстанций и взрывоопасных лекарственных средств.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(в ред. </w:t>
      </w:r>
      <w:hyperlink r:id="rId23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20. Количество огнеопасных фармацевтических субстанций, допустимое для хранения в помещениях для хранения огнеопасных фармацевтических субстанций и взрывоопасных лекарственных средств, расположенных в зданиях другого назначения, не должно превышать 100 кг в </w:t>
      </w:r>
      <w:proofErr w:type="spellStart"/>
      <w:r w:rsidRPr="00865FBE">
        <w:rPr>
          <w:rFonts w:ascii="PT Astra Serif" w:hAnsi="PT Astra Serif"/>
        </w:rPr>
        <w:t>нерасфасованном</w:t>
      </w:r>
      <w:proofErr w:type="spellEnd"/>
      <w:r w:rsidRPr="00865FBE">
        <w:rPr>
          <w:rFonts w:ascii="PT Astra Serif" w:hAnsi="PT Astra Serif"/>
        </w:rPr>
        <w:t xml:space="preserve"> виде.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Помещения для хранения огнеопасных фармацевтических субстанций и взрывоопасных лекарственных средств, используемые для хранения легковоспламеняющихся фармацевтических субстанций в количестве свыше 100 кг, должны находиться в отдельно стоящем здании, а само хранение должно осуществляться в стеклянной или металлической таре изолированно от помещений для хранения других групп огнеопасных фармацевтических субстанций.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(п. 20 в ред. </w:t>
      </w:r>
      <w:hyperlink r:id="rId24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21. В помещения для хранения огнеопасных фармацевтических субстанций и взрывоопасных лекарственных средств запрещается входить с открытыми источниками огня.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(в ред. </w:t>
      </w:r>
      <w:hyperlink r:id="rId25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1"/>
        <w:rPr>
          <w:rFonts w:ascii="PT Astra Serif" w:hAnsi="PT Astra Serif"/>
        </w:rPr>
      </w:pPr>
      <w:r w:rsidRPr="00865FBE">
        <w:rPr>
          <w:rFonts w:ascii="PT Astra Serif" w:hAnsi="PT Astra Serif"/>
        </w:rPr>
        <w:t>V. Особенности организации хранения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в складских помещениях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22. Лекарственные средства, хранящиеся в складских помещениях, должны размещаться на стеллажах или на подтоварниках (поддонах). Не допускается размещение лекарственных средств на полу без поддона.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lastRenderedPageBreak/>
        <w:t>Поддоны могут располагаться на полу в один ряд или на стеллажах в несколько ярусов, в зависимости от высоты стеллажа. Не допускается размещение поддонов с лекарственными средствами в несколько рядов по высоте без использования стеллажей.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23. При ручном способе разгрузочно-погрузочных работ высота укладки лекарственных средств не должна превышать 1,5 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При использовании механизированных устройств для проведения разгрузочно-погрузочных работ лекарственные средства должны храниться в несколько ярусов. При этом общая высота размещения лекарственных средств на стеллажах не должна превышать возможности механизированных погрузочно-разгрузочных средств (подъемники, автокары, тали).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23.1. Площадь складских помещений должна соответствовать объему хранимых лекарственных средств, но составлять не менее 150 кв. м, включая: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зону приемки лекарственных средств;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зону для основного хранения лекарственных средств;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зону экспедиции;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помещения для лекарственных средств, требующих особых условий хранения.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(п. 23.1 введен </w:t>
      </w:r>
      <w:hyperlink r:id="rId26">
        <w:r w:rsidRPr="00865FBE">
          <w:rPr>
            <w:rFonts w:ascii="PT Astra Serif" w:hAnsi="PT Astra Serif"/>
            <w:color w:val="0000FF"/>
          </w:rPr>
          <w:t>Приказом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1"/>
        <w:rPr>
          <w:rFonts w:ascii="PT Astra Serif" w:hAnsi="PT Astra Serif"/>
        </w:rPr>
      </w:pPr>
      <w:r w:rsidRPr="00865FBE">
        <w:rPr>
          <w:rFonts w:ascii="PT Astra Serif" w:hAnsi="PT Astra Serif"/>
        </w:rPr>
        <w:t>VI. Особенности хранения отдельных групп лекарственных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средств в зависимости от физических и физико-химических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свойств, воздействия на них различных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факторов внешней среды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средств, требующих защиты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действия света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24. Лекарственные средства, требующие защиты от действия света, хранятся в помещениях или специально оборудованных местах, обеспечивающих защиту от естественного и искусственного освещения.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25. Фармацевтические субстанции, требующие защиты от действия света, следует хранить в таре из светозащитных материалов (стеклянной таре оранжевого стекла, металлической таре, упаковке из алюминиевой фольги или полимерных материалов, окрашенных в черный, коричневый или оранжевый цвета), в темном помещении или шкафах.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Для хранения особо чувствительных к свету фармацевтических субстанций (нитрат серебра, </w:t>
      </w:r>
      <w:proofErr w:type="spellStart"/>
      <w:r w:rsidRPr="00865FBE">
        <w:rPr>
          <w:rFonts w:ascii="PT Astra Serif" w:hAnsi="PT Astra Serif"/>
        </w:rPr>
        <w:t>прозерин</w:t>
      </w:r>
      <w:proofErr w:type="spellEnd"/>
      <w:r w:rsidRPr="00865FBE">
        <w:rPr>
          <w:rFonts w:ascii="PT Astra Serif" w:hAnsi="PT Astra Serif"/>
        </w:rPr>
        <w:t>) стеклянную тару оклеивают черной светонепроницаемой бумагой.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26. Лекарственные препараты для медицинского применения, требующие защиты от действия света, упакованные в первичную и вторичную (потребительскую) упаковку, следует хранить в шкафах или на стеллажах при условии принятия мер для предотвращения попадания на указанные лекарственные препараты прямого солнечного света или иного яркого направленного света (использование светоотражающей пленки, жалюзи, козырьков и др.).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средств, требующих защиты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воздействия влаги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27. Фармацевтические субстанции, требующие защиты от воздействия влаги, следует хранить в прохладном месте при температуре до +15 град. C (далее - прохладное место), в плотно укупоренной таре из материалов, непроницаемых для паров воды (стекла, металла, алюминиевой фольги, толстостенной пластмассовой таре) или в первичной и вторичной (потребительской) упаковке производителя.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lastRenderedPageBreak/>
        <w:t>28. Фармацевтические субстанции с выраженными гигроскопическими свойствами следует хранить в стеклянной таре с герметичной укупоркой, залитой сверху парафином.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29. Во избежание порчи и потери качества следует организовать хранение лекарственных средств в соответствии с требованиями, нанесенными в виде предупреждающих надписей на вторичной (потребительской) упаковке лекарственного средства.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средств, требующих защиты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улетучивания и высыхания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30. Фармацевтические субстанции, требующие защиты от улетучивания и высыхания (собственно летучие лекарственные средства; лекарственные средства, содержащие летучий растворитель (спиртовые настойки, жидкие спиртовые концентраты, густые экстракты); растворы и смеси летучих веществ (эфирные масла, растворы аммиака, формальдегида, хлористого водорода свыше 13%, карболовой кислоты, этиловый спирт различной концентрации и др.); лекарственное растительное сырье, содержащее эфирные масла; лекарственные средства, содержащие кристаллизационную воду, - кристаллогидраты; лекарственные средства, разлагающиеся с образованием летучих продуктов (йодоформ, перекись водорода, гидрокарбонат натрия); лекарственные средства с определенным нижним пределом влагосодержания (сульфат магния, </w:t>
      </w:r>
      <w:proofErr w:type="spellStart"/>
      <w:r w:rsidRPr="00865FBE">
        <w:rPr>
          <w:rFonts w:ascii="PT Astra Serif" w:hAnsi="PT Astra Serif"/>
        </w:rPr>
        <w:t>парааминосалицилат</w:t>
      </w:r>
      <w:proofErr w:type="spellEnd"/>
      <w:r w:rsidRPr="00865FBE">
        <w:rPr>
          <w:rFonts w:ascii="PT Astra Serif" w:hAnsi="PT Astra Serif"/>
        </w:rPr>
        <w:t xml:space="preserve"> натрия, сульфат натрия)), следует хранить в прохладном месте, в герметически укупоренной таре из непроницаемых для улетучивающихся веществ материалов (стекла, металла, алюминиевой фольги) или в первичной и вторичной (потребительской) упаковке производителя. Применение полимерной тары, упаковки и укупорки допускается в соответствии с требованиями государственной фармакопеи и нормативной документации.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31. Фармацевтические субстанции - кристаллогидраты следует хранить в герметично укупоренной стеклянной, металлической и толстостенной пластмассовой таре или в первичной и вторичной (потребительской) упаковке производителя в условиях, соответствующих требованиям нормативной документации на данные лекарственные средства.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средств, требующих защиты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воздействия повышенной температуры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32. Хранение лекарственных средств, требующих защиты от воздействия повышенной температуры (термолабильные лекарственные средства), организации и индивидуальные предприниматели должны осуществлять в соответствии с температурным режимом, указанным на первичной и вторичной (потребительской) упаковке лекарственного средства в соответствии с требованиями нормативной документации.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средств, требующих защиты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воздействия пониженной температуры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33. Хранение лекарственных средств, требующих защиты от воздействия пониженной температуры (лекарственные средства, физико-химическое состояние которых после замерзания изменяется и при последующем согревании до комнатной температуры не восстанавливается (40% раствор формальдегида, растворы инсулина)), организации и индивидуальные предприниматели должны осуществлять в соответствии с температурным режимом, указанным на первичной и вторичной (потребительской) упаковке лекарственного средства в соответствии с требованиями нормативной документации.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34. Замерзание препаратов инсулина не допускается.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средств, требующих защиты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от воздействия газов, содержащихся в окружающей среде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35. Фармацевтические субстанции, требующие защиты от воздействия газов (вещества, реагирующие с кислородом воздуха: различные соединения алифатического ряда с непредельными </w:t>
      </w:r>
      <w:r w:rsidRPr="00865FBE">
        <w:rPr>
          <w:rFonts w:ascii="PT Astra Serif" w:hAnsi="PT Astra Serif"/>
        </w:rPr>
        <w:lastRenderedPageBreak/>
        <w:t>межуглеродными связями, циклические с боковыми алифатическими группами с непредельными межуглеродными связями, фенольные и полифенольные, морфин и его производные с незамещенными гидроксильными группами; серосодержащие гетерогенные и гетероциклические соединения, ферменты и органопрепараты; вещества, реагирующие с углекислым газом воздуха: соли щелочных металлов и слабых органических кислот (</w:t>
      </w:r>
      <w:proofErr w:type="spellStart"/>
      <w:r w:rsidRPr="00865FBE">
        <w:rPr>
          <w:rFonts w:ascii="PT Astra Serif" w:hAnsi="PT Astra Serif"/>
        </w:rPr>
        <w:t>барбитал</w:t>
      </w:r>
      <w:proofErr w:type="spellEnd"/>
      <w:r w:rsidRPr="00865FBE">
        <w:rPr>
          <w:rFonts w:ascii="PT Astra Serif" w:hAnsi="PT Astra Serif"/>
        </w:rPr>
        <w:t xml:space="preserve"> натрий, </w:t>
      </w:r>
      <w:proofErr w:type="spellStart"/>
      <w:r w:rsidRPr="00865FBE">
        <w:rPr>
          <w:rFonts w:ascii="PT Astra Serif" w:hAnsi="PT Astra Serif"/>
        </w:rPr>
        <w:t>гексенал</w:t>
      </w:r>
      <w:proofErr w:type="spellEnd"/>
      <w:r w:rsidRPr="00865FBE">
        <w:rPr>
          <w:rFonts w:ascii="PT Astra Serif" w:hAnsi="PT Astra Serif"/>
        </w:rPr>
        <w:t>), лекарственные препараты, содержащие многоатомные амины (эуфиллин), окись и перекись магния, едкий натрий, едкий калий), следует хранить в герметически укупоренной таре из материалов, непроницаемых для газов, по возможности заполненной доверху.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пахучих и красящих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36. Пахучие лекарственные средства (фармацевтические субстанции как летучие, так и практически нелетучие, но обладающие сильным запахом) следует хранить в герметически закрытой таре, непроницаемой для запаха.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37. Красящие лекарственные средства (фармацевтические субстанции, которые оставляют окрашенный след, не смываемый обычной санитарно-гигиенической обработкой, на таре, укупорочных средствах, оборудовании и инвентаре (бриллиантовый зеленый, метиленовый синий, индигокармин)) следует хранить в специальном шкафу в плотно укупоренной таре.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38. Для работы с красящими лекарственными средствами для каждого наименования необходимо выделять специальные весы, ступку, шпатель и другой необходимый инвентарь.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дезинфицирующих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39. Дезинфицирующие лекарственные средства следует хранить в герметично укупоренной таре в изолированном помещении вдали от помещений хранения пластмассовых, резиновых и металлических изделий и помещений получения дистиллированной воды.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лекарственных препаратов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для медицинского применения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40. Хранение лекарственных препаратов для медицинского применения осуществляется в соответствии с требованиями государственной фармакопеи и нормативной документации, а также с учетом свойств веществ, входящих в их состав.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41. При хранении в шкафах, на стеллажах или полках лекарственные препараты для медицинского применения во вторичной (потребительской) упаковке должны быть размещены этикеткой (маркировкой) наружу.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42. Организации и индивидуальные предприниматели должны осуществлять хранение лекарственных препаратов для медицинского применения в соответствии с требованиями к их хранению, указанными на вторичной (потребительской) упаковке указанного лекарственного препарата.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лекарственного растительного сырья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43. </w:t>
      </w:r>
      <w:proofErr w:type="spellStart"/>
      <w:r w:rsidRPr="00865FBE">
        <w:rPr>
          <w:rFonts w:ascii="PT Astra Serif" w:hAnsi="PT Astra Serif"/>
        </w:rPr>
        <w:t>Нерасфасованное</w:t>
      </w:r>
      <w:proofErr w:type="spellEnd"/>
      <w:r w:rsidRPr="00865FBE">
        <w:rPr>
          <w:rFonts w:ascii="PT Astra Serif" w:hAnsi="PT Astra Serif"/>
        </w:rPr>
        <w:t xml:space="preserve"> лекарственное растительное сырье должно храниться в сухом (не более 50% влажности), хорошо проветриваемом помещении в плотно закрытой таре.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44. </w:t>
      </w:r>
      <w:proofErr w:type="spellStart"/>
      <w:r w:rsidRPr="00865FBE">
        <w:rPr>
          <w:rFonts w:ascii="PT Astra Serif" w:hAnsi="PT Astra Serif"/>
        </w:rPr>
        <w:t>Нерасфасованное</w:t>
      </w:r>
      <w:proofErr w:type="spellEnd"/>
      <w:r w:rsidRPr="00865FBE">
        <w:rPr>
          <w:rFonts w:ascii="PT Astra Serif" w:hAnsi="PT Astra Serif"/>
        </w:rPr>
        <w:t xml:space="preserve"> лекарственное растительное сырье, содержащее эфирные масла, хранится изолированно в хорошо укупоренной таре.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45. </w:t>
      </w:r>
      <w:proofErr w:type="spellStart"/>
      <w:r w:rsidRPr="00865FBE">
        <w:rPr>
          <w:rFonts w:ascii="PT Astra Serif" w:hAnsi="PT Astra Serif"/>
        </w:rPr>
        <w:t>Нерасфасованное</w:t>
      </w:r>
      <w:proofErr w:type="spellEnd"/>
      <w:r w:rsidRPr="00865FBE">
        <w:rPr>
          <w:rFonts w:ascii="PT Astra Serif" w:hAnsi="PT Astra Serif"/>
        </w:rPr>
        <w:t xml:space="preserve"> лекарственное растительное сырье должно подвергаться периодическому контролю в соответствии с требованиями государственной фармакопеи. Трава, корни, корневища, семена, плоды, утратившие нормальную окраску, запах и требуемое количество действующих веществ, а также пораженные плесенью, амбарными вредителями, бракуют.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lastRenderedPageBreak/>
        <w:t>46. Хранение лекарственного растительного сырья, содержащего сердечные гликозиды, осуществляется с соблюдением требований государственной фармакопеи, в частности, требования о повторном контроле на биологическую активность.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47. </w:t>
      </w:r>
      <w:proofErr w:type="spellStart"/>
      <w:r w:rsidRPr="00865FBE">
        <w:rPr>
          <w:rFonts w:ascii="PT Astra Serif" w:hAnsi="PT Astra Serif"/>
        </w:rPr>
        <w:t>Нерасфасованное</w:t>
      </w:r>
      <w:proofErr w:type="spellEnd"/>
      <w:r w:rsidRPr="00865FBE">
        <w:rPr>
          <w:rFonts w:ascii="PT Astra Serif" w:hAnsi="PT Astra Serif"/>
        </w:rPr>
        <w:t xml:space="preserve"> лекарственное растительное сырье, включенное в списки сильнодействующих и ядовитых веществ, утвержденные </w:t>
      </w:r>
      <w:hyperlink r:id="rId27">
        <w:r w:rsidRPr="00865FBE">
          <w:rPr>
            <w:rFonts w:ascii="PT Astra Serif" w:hAnsi="PT Astra Serif"/>
            <w:color w:val="0000FF"/>
          </w:rPr>
          <w:t>Постановлением</w:t>
        </w:r>
      </w:hyperlink>
      <w:r w:rsidRPr="00865FBE">
        <w:rPr>
          <w:rFonts w:ascii="PT Astra Serif" w:hAnsi="PT Astra Serif"/>
        </w:rPr>
        <w:t xml:space="preserve"> Правительства Российской Федерации от 29 декабря 2007 г. N 964 "Об утверждении списков сильнодействующих и ядовитых веществ для целей статьи 234 и других статей Уголовного кодекса Российской Федерации, а также крупного размера сильнодействующих веществ для целей статьи 234 Уголовного кодекса Российской Федерации" (Собрание законодательства Российской Федерации, 2008, N 2, ст. 89; 2010, N 28, ст. 3703), хранится в отдельном помещении или в отдельном шкафу под замком.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48. Расфасованное лекарственное растительное сырье хранится на стеллажах или в шкафах.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медицинских пиявок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49. Хранение медицинских пиявок осуществляется в светлом помещении без запаха лекарств, для которого устанавливается постоянный температурный режим.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50. Содержание пиявок осуществляется в установленном порядке.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огнеопасных лекарственных средств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51. Хранение огнеопасных лекарственных средств (лекарственные средства, обладающие легковоспламеняющимися свойствами (спирт и спиртовые растворы, спиртовые и эфирные настойки, спиртовые и эфирные экстракты, эфир, скипидар, молочная кислота, хлорэтил, коллодий, </w:t>
      </w:r>
      <w:proofErr w:type="spellStart"/>
      <w:r w:rsidRPr="00865FBE">
        <w:rPr>
          <w:rFonts w:ascii="PT Astra Serif" w:hAnsi="PT Astra Serif"/>
        </w:rPr>
        <w:t>клеол</w:t>
      </w:r>
      <w:proofErr w:type="spellEnd"/>
      <w:r w:rsidRPr="00865FBE">
        <w:rPr>
          <w:rFonts w:ascii="PT Astra Serif" w:hAnsi="PT Astra Serif"/>
        </w:rPr>
        <w:t xml:space="preserve">, жидкость Новикова, органические масла); лекарственные средства, обладающие легкогорючими свойствами (сера, глицерин, растительные масла, </w:t>
      </w:r>
      <w:proofErr w:type="spellStart"/>
      <w:r w:rsidRPr="00865FBE">
        <w:rPr>
          <w:rFonts w:ascii="PT Astra Serif" w:hAnsi="PT Astra Serif"/>
        </w:rPr>
        <w:t>нерасфасованное</w:t>
      </w:r>
      <w:proofErr w:type="spellEnd"/>
      <w:r w:rsidRPr="00865FBE">
        <w:rPr>
          <w:rFonts w:ascii="PT Astra Serif" w:hAnsi="PT Astra Serif"/>
        </w:rPr>
        <w:t xml:space="preserve"> лекарственное растительное сырье)) должно осуществляться отдельно от других лекарственных средств.</w:t>
      </w:r>
    </w:p>
    <w:p w:rsidR="00865FBE" w:rsidRPr="00865FBE" w:rsidRDefault="00865FBE">
      <w:pPr>
        <w:pStyle w:val="ConsPlusNormal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(в ред. </w:t>
      </w:r>
      <w:hyperlink r:id="rId28">
        <w:r w:rsidRPr="00865FBE">
          <w:rPr>
            <w:rFonts w:ascii="PT Astra Serif" w:hAnsi="PT Astra Serif"/>
            <w:color w:val="0000FF"/>
          </w:rPr>
          <w:t>Приказа</w:t>
        </w:r>
      </w:hyperlink>
      <w:r w:rsidRPr="00865FBE">
        <w:rPr>
          <w:rFonts w:ascii="PT Astra Serif" w:hAnsi="PT Astra Serif"/>
        </w:rPr>
        <w:t xml:space="preserve"> Минздравсоцразвития РФ от 28.12.2010 N 1221н)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52. Легковоспламеняющиеся лекарственные средства хранят в плотно укупоренной прочной, стеклянной или металлической таре, чтобы предупредить испарение жидкостей из сосудов.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53. Бутыли, баллоны и другие крупные емкости с легковоспламеняющимися и легкогорючими лекарственными средствами должны храниться на полках стеллажей в один ряд по высоте. Запрещается их хранение в несколько рядов по высоте с использованием различных прокладочных материалов.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Не допускается хранение указанных лекарственных средств у отопительных приборов. Расстояние от стеллажа или штабеля до нагревательного элемента должно быть не менее 1 м.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54. Хранение бутылей с легковоспламеняющимися и легкогорючими фармацевтическими субстанциями должно осуществляться в таре, предохраняющей от ударов, или в </w:t>
      </w:r>
      <w:proofErr w:type="spellStart"/>
      <w:r w:rsidRPr="00865FBE">
        <w:rPr>
          <w:rFonts w:ascii="PT Astra Serif" w:hAnsi="PT Astra Serif"/>
        </w:rPr>
        <w:t>баллоно</w:t>
      </w:r>
      <w:proofErr w:type="spellEnd"/>
      <w:r w:rsidRPr="00865FBE">
        <w:rPr>
          <w:rFonts w:ascii="PT Astra Serif" w:hAnsi="PT Astra Serif"/>
        </w:rPr>
        <w:t>-опрокидывателях в один ряд.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55. На рабочих местах производственных помещений, выделяемых в аптечных организациях и индивидуальными предпринимателями, легковоспламеняющиеся и легкогорючие лекарственные средства могут храниться в количествах, не превышающих сменную потребность. При этом емкости, в которых они хранятся, должны быть плотно закрыты.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56. Не допускается хранение легковоспламеняющихся и легкогорючих лекарственных средств в полностью заполненной таре. Степень заполнения должна быть не более 90% объема. Спирты в больших количествах хранятся в металлических емкостях, заполняемых не более чем на 75% объема.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57. Не допускается совместное хранение легковоспламеняющихся лекарственных средств с </w:t>
      </w:r>
      <w:r w:rsidRPr="00865FBE">
        <w:rPr>
          <w:rFonts w:ascii="PT Astra Serif" w:hAnsi="PT Astra Serif"/>
        </w:rPr>
        <w:lastRenderedPageBreak/>
        <w:t>минеральными кислотами (особенно серной и азотной кислотами), сжатыми и сжиженными газами, легкогорючими веществами (растительными маслами, серой, перевязочным материалом), щелочами, а также с неорганическими солями, дающими с органическими веществами взрывоопасные смеси (калия хлорат, калия перманганат, калия хромат и др.).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58. Эфир медицинский и эфир для наркоза хранят в промышленной упаковке, в прохладном, защищенном от света месте, вдали от огня и нагревательных приборов.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взрывоопасных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59. При хранении взрывоопасных лекарственных средств (лекарственные средства, обладающие взрывчатыми свойствами (нитроглицерин); лекарственные средства, обладающие взрывоопасными свойствами (калия перманганат, серебра нитрат)) следует принимать меры против загрязнения их пылью.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60. Емкости с взрывоопасными лекарственными средствами (</w:t>
      </w:r>
      <w:proofErr w:type="spellStart"/>
      <w:r w:rsidRPr="00865FBE">
        <w:rPr>
          <w:rFonts w:ascii="PT Astra Serif" w:hAnsi="PT Astra Serif"/>
        </w:rPr>
        <w:t>штангласы</w:t>
      </w:r>
      <w:proofErr w:type="spellEnd"/>
      <w:r w:rsidRPr="00865FBE">
        <w:rPr>
          <w:rFonts w:ascii="PT Astra Serif" w:hAnsi="PT Astra Serif"/>
        </w:rPr>
        <w:t>, жестяные барабаны, склянки и др.) необходимо плотно закрывать во избежание попадания паров этих средств в воздух.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61. Хранение </w:t>
      </w:r>
      <w:proofErr w:type="spellStart"/>
      <w:r w:rsidRPr="00865FBE">
        <w:rPr>
          <w:rFonts w:ascii="PT Astra Serif" w:hAnsi="PT Astra Serif"/>
        </w:rPr>
        <w:t>нерасфасованного</w:t>
      </w:r>
      <w:proofErr w:type="spellEnd"/>
      <w:r w:rsidRPr="00865FBE">
        <w:rPr>
          <w:rFonts w:ascii="PT Astra Serif" w:hAnsi="PT Astra Serif"/>
        </w:rPr>
        <w:t xml:space="preserve"> калия перманганата допускается в специальном отсеке складских помещений (где он хранится в жестяных барабанах), в </w:t>
      </w:r>
      <w:proofErr w:type="spellStart"/>
      <w:r w:rsidRPr="00865FBE">
        <w:rPr>
          <w:rFonts w:ascii="PT Astra Serif" w:hAnsi="PT Astra Serif"/>
        </w:rPr>
        <w:t>штангласах</w:t>
      </w:r>
      <w:proofErr w:type="spellEnd"/>
      <w:r w:rsidRPr="00865FBE">
        <w:rPr>
          <w:rFonts w:ascii="PT Astra Serif" w:hAnsi="PT Astra Serif"/>
        </w:rPr>
        <w:t xml:space="preserve"> с притертыми пробками отдельно от других органических веществ - в аптечных организациях и у индивидуальных предпринимателей.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62. </w:t>
      </w:r>
      <w:proofErr w:type="spellStart"/>
      <w:r w:rsidRPr="00865FBE">
        <w:rPr>
          <w:rFonts w:ascii="PT Astra Serif" w:hAnsi="PT Astra Serif"/>
        </w:rPr>
        <w:t>Нерасфасованный</w:t>
      </w:r>
      <w:proofErr w:type="spellEnd"/>
      <w:r w:rsidRPr="00865FBE">
        <w:rPr>
          <w:rFonts w:ascii="PT Astra Serif" w:hAnsi="PT Astra Serif"/>
        </w:rPr>
        <w:t xml:space="preserve"> раствор нитроглицерина хранится в небольших хорошо укупоренных склянках или металлических сосудах в прохладном, защищенном от света месте, с соблюдением мер предосторожности от огня. Передвигать посуду с нитроглицерином и отвешивать этот препарат следует в условиях, исключающих пролив и испарение нитроглицерина, а также попадание его на кожу.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63. При работе с диэтиловым эфиром не допускается встряхивание, удары, трение.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64. Запрещается хранение взрывоопасных лекарственных средств с кислотами и щелочами.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наркотических и психотропных лекарственных средств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65FBE" w:rsidRPr="00865FB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65FBE" w:rsidRPr="00865FBE" w:rsidRDefault="00865FB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65FBE">
              <w:rPr>
                <w:rFonts w:ascii="PT Astra Serif" w:hAnsi="PT Astra Serif"/>
                <w:color w:val="392C69"/>
              </w:rPr>
              <w:t>КонсультантПлюс: примечание.</w:t>
            </w:r>
          </w:p>
          <w:p w:rsidR="00865FBE" w:rsidRPr="00865FBE" w:rsidRDefault="00865FB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65FBE">
              <w:rPr>
                <w:rFonts w:ascii="PT Astra Serif" w:hAnsi="PT Astra Serif"/>
                <w:color w:val="392C69"/>
              </w:rPr>
              <w:t xml:space="preserve">Приказом Минздрава России от 26.11.2021 N 1103н утверждены </w:t>
            </w:r>
            <w:hyperlink r:id="rId29">
              <w:r w:rsidRPr="00865FBE">
                <w:rPr>
                  <w:rFonts w:ascii="PT Astra Serif" w:hAnsi="PT Astra Serif"/>
                  <w:color w:val="0000FF"/>
                </w:rPr>
                <w:t>специальные требования</w:t>
              </w:r>
            </w:hyperlink>
            <w:r w:rsidRPr="00865FBE">
              <w:rPr>
                <w:rFonts w:ascii="PT Astra Serif" w:hAnsi="PT Astra Serif"/>
                <w:color w:val="392C69"/>
              </w:rPr>
              <w:t xml:space="preserve"> к условиям хранения наркотических и психотропных лекарственных средств, предназначенных для медицинского применения.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FBE" w:rsidRPr="00865FBE" w:rsidRDefault="00865FBE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65FBE" w:rsidRPr="00865FBE" w:rsidRDefault="00865FBE">
      <w:pPr>
        <w:pStyle w:val="ConsPlusNormal"/>
        <w:spacing w:before="28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65. Наркотические и психотропные лекарственные средства хранятся в организациях в изолированных помещениях, специально оборудованных инженерными и техническими средствами охраны, и в местах временного хранения при соблюдении требований согласно </w:t>
      </w:r>
      <w:hyperlink r:id="rId30">
        <w:r w:rsidRPr="00865FBE">
          <w:rPr>
            <w:rFonts w:ascii="PT Astra Serif" w:hAnsi="PT Astra Serif"/>
            <w:color w:val="0000FF"/>
          </w:rPr>
          <w:t>Правилам</w:t>
        </w:r>
      </w:hyperlink>
      <w:r w:rsidRPr="00865FBE">
        <w:rPr>
          <w:rFonts w:ascii="PT Astra Serif" w:hAnsi="PT Astra Serif"/>
        </w:rPr>
        <w:t xml:space="preserve"> хранения наркотических средств и психотропных веществ, установленных Постановлением Правительства Российской Федерации от 31 декабря 2009 г. N 1148 (Собрание законодательства Российской Федерации, 2010, N 4, ст. 394; N 25, ст. 3178).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jc w:val="center"/>
        <w:outlineLvl w:val="2"/>
        <w:rPr>
          <w:rFonts w:ascii="PT Astra Serif" w:hAnsi="PT Astra Serif"/>
        </w:rPr>
      </w:pPr>
      <w:r w:rsidRPr="00865FBE">
        <w:rPr>
          <w:rFonts w:ascii="PT Astra Serif" w:hAnsi="PT Astra Serif"/>
        </w:rPr>
        <w:t>Хранение сильнодействующих и ядовитых лекарственных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средств, лекарственных средств, подлежащих</w:t>
      </w:r>
    </w:p>
    <w:p w:rsidR="00865FBE" w:rsidRPr="00865FBE" w:rsidRDefault="00865FBE">
      <w:pPr>
        <w:pStyle w:val="ConsPlusNormal"/>
        <w:jc w:val="center"/>
        <w:rPr>
          <w:rFonts w:ascii="PT Astra Serif" w:hAnsi="PT Astra Serif"/>
        </w:rPr>
      </w:pPr>
      <w:r w:rsidRPr="00865FBE">
        <w:rPr>
          <w:rFonts w:ascii="PT Astra Serif" w:hAnsi="PT Astra Serif"/>
        </w:rPr>
        <w:t>предметно-количественному учету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66. В соответствии с </w:t>
      </w:r>
      <w:hyperlink r:id="rId31">
        <w:r w:rsidRPr="00865FBE">
          <w:rPr>
            <w:rFonts w:ascii="PT Astra Serif" w:hAnsi="PT Astra Serif"/>
            <w:color w:val="0000FF"/>
          </w:rPr>
          <w:t>Постановлением</w:t>
        </w:r>
      </w:hyperlink>
      <w:r w:rsidRPr="00865FBE">
        <w:rPr>
          <w:rFonts w:ascii="PT Astra Serif" w:hAnsi="PT Astra Serif"/>
        </w:rPr>
        <w:t xml:space="preserve"> Правительства Российской Федерации от 29 декабря 2007 г. N 964 "Об утверждении списков сильнодействующих и ядовитых веществ для целей статьи 234 и других статей Уголовного кодекса Российской Федерации, а также крупного размера сильнодействующих веществ для целей статьи 234 Уголовного кодекса Российской Федерации" к сильнодействующим и ядовитым лекарственным средствам относятся лекарственные средства, содержащие сильнодействующие и ядовитые вещества, включенные в списки сильнодействующих </w:t>
      </w:r>
      <w:r w:rsidRPr="00865FBE">
        <w:rPr>
          <w:rFonts w:ascii="PT Astra Serif" w:hAnsi="PT Astra Serif"/>
        </w:rPr>
        <w:lastRenderedPageBreak/>
        <w:t>веществ и ядовитых веществ.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67. Хранение сильнодействующих и ядовитых лекарственных средств, находящихся под контролем в соответствии с международными правовыми нормами (далее - сильнодействующие и ядовитые лекарственные средства, находящиеся под международным контролем), осуществляется в помещениях, оборудованных инженерными и техническими средствами охраны, аналогичными предусмотренным для хранения наркотических и психотропных лекарственных средств.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68. Допускается хранение в одном технически укрепленном помещении сильнодействующих и ядовитых лекарственных средств, находящихся под международным контролем, и наркотических и психотропных лекарственных средств.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При этом хранение сильнодействующих и ядовитых лекарственных средств должно осуществляться (в зависимости от объема запасов) на разных полках сейфа (металлического шкафа) или в разных сейфах (металлических шкафах).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>69. Хранение сильнодействующих и ядовитых лекарственных средств, не находящихся под международным контролем, осуществляется в металлических шкафах, опечатываемых или пломбируемых в конце рабочего дня.</w:t>
      </w:r>
    </w:p>
    <w:p w:rsidR="00865FBE" w:rsidRPr="00865FBE" w:rsidRDefault="00865FBE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865FBE">
        <w:rPr>
          <w:rFonts w:ascii="PT Astra Serif" w:hAnsi="PT Astra Serif"/>
        </w:rPr>
        <w:t xml:space="preserve">70. Лекарственные средства, подлежащие предметно-количественному учету в соответствии с </w:t>
      </w:r>
      <w:hyperlink r:id="rId32">
        <w:r w:rsidRPr="00865FBE">
          <w:rPr>
            <w:rFonts w:ascii="PT Astra Serif" w:hAnsi="PT Astra Serif"/>
            <w:color w:val="0000FF"/>
          </w:rPr>
          <w:t>Приказом</w:t>
        </w:r>
      </w:hyperlink>
      <w:r w:rsidRPr="00865FBE">
        <w:rPr>
          <w:rFonts w:ascii="PT Astra Serif" w:hAnsi="PT Astra Serif"/>
        </w:rPr>
        <w:t xml:space="preserve"> Министерства здравоохранения и социального развития Российской Федерации от 14 декабря 2005 г. N 785 "О порядке отпуска лекарственных средств" (зарегистрирован в Министерстве юстиции Российской Федерации 16 января 2006 г. N 7353), за исключением наркотических, психотропных, сильнодействующих и ядовитых лекарственных средств, хранятся в металлических или деревянных шкафах, опечатываемых или пломбируемых в конце рабочего дня.</w:t>
      </w: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ind w:firstLine="540"/>
        <w:jc w:val="both"/>
        <w:rPr>
          <w:rFonts w:ascii="PT Astra Serif" w:hAnsi="PT Astra Serif"/>
        </w:rPr>
      </w:pPr>
    </w:p>
    <w:p w:rsidR="00865FBE" w:rsidRPr="00865FBE" w:rsidRDefault="00865FBE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353B4A" w:rsidRPr="00865FBE" w:rsidRDefault="00353B4A">
      <w:pPr>
        <w:rPr>
          <w:rFonts w:ascii="PT Astra Serif" w:hAnsi="PT Astra Serif"/>
        </w:rPr>
      </w:pPr>
    </w:p>
    <w:sectPr w:rsidR="00353B4A" w:rsidRPr="00865FBE" w:rsidSect="003D3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FBE"/>
    <w:rsid w:val="00353B4A"/>
    <w:rsid w:val="0086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19EFF0-661B-46EE-AA82-910047A5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6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65FB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236D1C4E0C018DA829F9E5EE8BAF55AE4488DE63F1D4245B1CBA3F92AC7641462058A15380B2E63B896700092AA5B656B3363E8A6E835ZBZBG" TargetMode="External"/><Relationship Id="rId18" Type="http://schemas.openxmlformats.org/officeDocument/2006/relationships/hyperlink" Target="consultantplus://offline/ref=8236D1C4E0C018DA829F9E5EE8BAF55AE1498FE53E161F4FB992AFFB2DC83B03654C8614380A2A61B7C9751583F25761702D61F4BAEA37BAZBZ5G" TargetMode="External"/><Relationship Id="rId26" Type="http://schemas.openxmlformats.org/officeDocument/2006/relationships/hyperlink" Target="consultantplus://offline/ref=8236D1C4E0C018DA829F9E5EE8BAF55AE44B89E53F151F4FB992AFFB2DC83B03654C8614380A2B60B1C9751583F25761702D61F4BAEA37BAZBZ5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236D1C4E0C018DA829F9E5EE8BAF55AE44B89E53F151F4FB992AFFB2DC83B03654C8614380A2B63B6C9751583F25761702D61F4BAEA37BAZBZ5G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8236D1C4E0C018DA829F9E5EE8BAF55AE4488DE63F1D4245B1CBA3F92AC7641462058A15380A2963B896700092AA5B656B3363E8A6E835ZBZBG" TargetMode="External"/><Relationship Id="rId12" Type="http://schemas.openxmlformats.org/officeDocument/2006/relationships/hyperlink" Target="consultantplus://offline/ref=8236D1C4E0C018DA829F9E5EE8BAF55AE4488DE63F1D4245B1CBA3F92AC7641462058A15380A2E67B896700092AA5B656B3363E8A6E835ZBZBG" TargetMode="External"/><Relationship Id="rId17" Type="http://schemas.openxmlformats.org/officeDocument/2006/relationships/hyperlink" Target="consultantplus://offline/ref=8236D1C4E0C018DA829F9E5EE8BAF55AE44B89E53F151F4FB992AFFB2DC83B03654C8614380A2B63B3C9751583F25761702D61F4BAEA37BAZBZ5G" TargetMode="External"/><Relationship Id="rId25" Type="http://schemas.openxmlformats.org/officeDocument/2006/relationships/hyperlink" Target="consultantplus://offline/ref=8236D1C4E0C018DA829F9E5EE8BAF55AE44B89E53F151F4FB992AFFB2DC83B03654C8614380A2B60B2C9751583F25761702D61F4BAEA37BAZBZ5G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236D1C4E0C018DA829F9E5EE8BAF55AE44B89E53F151F4FB992AFFB2DC83B03654C8614380A2B62B5C9751583F25761702D61F4BAEA37BAZBZ5G" TargetMode="External"/><Relationship Id="rId20" Type="http://schemas.openxmlformats.org/officeDocument/2006/relationships/hyperlink" Target="consultantplus://offline/ref=8236D1C4E0C018DA829F9E5EE8BAF55AE44B89E53F151F4FB992AFFB2DC83B03654C8614380A2B63B0C9751583F25761702D61F4BAEA37BAZBZ5G" TargetMode="External"/><Relationship Id="rId29" Type="http://schemas.openxmlformats.org/officeDocument/2006/relationships/hyperlink" Target="consultantplus://offline/ref=8236D1C4E0C018DA829F9E5EE8BAF55AE14A88E939121F4FB992AFFB2DC83B03654C8614380A2B63B2C9751583F25761702D61F4BAEA37BAZBZ5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236D1C4E0C018DA829F9E5EE8BAF55AE4488DE63F1D4245B1CBA3F92AC7641462058A15380A2A64B896700092AA5B656B3363E8A6E835ZBZBG" TargetMode="External"/><Relationship Id="rId11" Type="http://schemas.openxmlformats.org/officeDocument/2006/relationships/hyperlink" Target="consultantplus://offline/ref=8236D1C4E0C018DA829F9E5EE8BAF55AE4488DE63F1D4245B1CBA3F92AC7641462058A15380A2E66B896700092AA5B656B3363E8A6E835ZBZBG" TargetMode="External"/><Relationship Id="rId24" Type="http://schemas.openxmlformats.org/officeDocument/2006/relationships/hyperlink" Target="consultantplus://offline/ref=8236D1C4E0C018DA829F9E5EE8BAF55AE44B89E53F151F4FB992AFFB2DC83B03654C8614380A2B63BBC9751583F25761702D61F4BAEA37BAZBZ5G" TargetMode="External"/><Relationship Id="rId32" Type="http://schemas.openxmlformats.org/officeDocument/2006/relationships/hyperlink" Target="consultantplus://offline/ref=8236D1C4E0C018DA829F9E5EE8BAF55AE44C8FE539101F4FB992AFFB2DC83B03774CDE18390F3562B1DC2344C5ZAZ4G" TargetMode="External"/><Relationship Id="rId5" Type="http://schemas.openxmlformats.org/officeDocument/2006/relationships/hyperlink" Target="consultantplus://offline/ref=8236D1C4E0C018DA829F9E5EE8BAF55AE1498DE63D171F4FB992AFFB2DC83B03654C8614380A2D61BBC9751583F25761702D61F4BAEA37BAZBZ5G" TargetMode="External"/><Relationship Id="rId15" Type="http://schemas.openxmlformats.org/officeDocument/2006/relationships/hyperlink" Target="consultantplus://offline/ref=8236D1C4E0C018DA829F9E5EE8BAF55AE4488DE63F1D4245B1CBA3F92AC7641462058A1538082B66B896700092AA5B656B3363E8A6E835ZBZBG" TargetMode="External"/><Relationship Id="rId23" Type="http://schemas.openxmlformats.org/officeDocument/2006/relationships/hyperlink" Target="consultantplus://offline/ref=8236D1C4E0C018DA829F9E5EE8BAF55AE44B89E53F151F4FB992AFFB2DC83B03654C8614380A2B63B4C9751583F25761702D61F4BAEA37BAZBZ5G" TargetMode="External"/><Relationship Id="rId28" Type="http://schemas.openxmlformats.org/officeDocument/2006/relationships/hyperlink" Target="consultantplus://offline/ref=8236D1C4E0C018DA829F9E5EE8BAF55AE44B89E53F151F4FB992AFFB2DC83B03654C8614380A2B60BBC9751583F25761702D61F4BAEA37BAZBZ5G" TargetMode="External"/><Relationship Id="rId10" Type="http://schemas.openxmlformats.org/officeDocument/2006/relationships/hyperlink" Target="consultantplus://offline/ref=8236D1C4E0C018DA829F9E5EE8BAF55AE4488DE63F1D4245B1CBA3F92AC7641462058A15380A2E61B896700092AA5B656B3363E8A6E835ZBZBG" TargetMode="External"/><Relationship Id="rId19" Type="http://schemas.openxmlformats.org/officeDocument/2006/relationships/hyperlink" Target="consultantplus://offline/ref=8236D1C4E0C018DA829F9E5EE8BAF55AE44B89E53F151F4FB992AFFB2DC83B03654C8614380A2B63B1C9751583F25761702D61F4BAEA37BAZBZ5G" TargetMode="External"/><Relationship Id="rId31" Type="http://schemas.openxmlformats.org/officeDocument/2006/relationships/hyperlink" Target="consultantplus://offline/ref=8236D1C4E0C018DA829F9E5EE8BAF55AE14A88E038161F4FB992AFFB2DC83B03774CDE18390F3562B1DC2344C5ZAZ4G" TargetMode="External"/><Relationship Id="rId4" Type="http://schemas.openxmlformats.org/officeDocument/2006/relationships/hyperlink" Target="consultantplus://offline/ref=8236D1C4E0C018DA829F9E5EE8BAF55AE44B89E53F151F4FB992AFFB2DC83B03654C8614380A2B62B5C9751583F25761702D61F4BAEA37BAZBZ5G" TargetMode="External"/><Relationship Id="rId9" Type="http://schemas.openxmlformats.org/officeDocument/2006/relationships/hyperlink" Target="consultantplus://offline/ref=8236D1C4E0C018DA829F9E5EE8BAF55AE4488DE63F1D4245B1CBA3F92AC7641462058A15380A2F67B896700092AA5B656B3363E8A6E835ZBZBG" TargetMode="External"/><Relationship Id="rId14" Type="http://schemas.openxmlformats.org/officeDocument/2006/relationships/hyperlink" Target="consultantplus://offline/ref=8236D1C4E0C018DA829F9E5EE8BAF55AE4488DE63F1D4245B1CBA3F92AC7641462058A1538082B62B896700092AA5B656B3363E8A6E835ZBZBG" TargetMode="External"/><Relationship Id="rId22" Type="http://schemas.openxmlformats.org/officeDocument/2006/relationships/hyperlink" Target="consultantplus://offline/ref=8236D1C4E0C018DA829F9E5EE8BAF55AE44B89E53F151F4FB992AFFB2DC83B03654C8614380A2B63B4C9751583F25761702D61F4BAEA37BAZBZ5G" TargetMode="External"/><Relationship Id="rId27" Type="http://schemas.openxmlformats.org/officeDocument/2006/relationships/hyperlink" Target="consultantplus://offline/ref=8236D1C4E0C018DA829F9E5EE8BAF55AE14A88E038161F4FB992AFFB2DC83B03774CDE18390F3562B1DC2344C5ZAZ4G" TargetMode="External"/><Relationship Id="rId30" Type="http://schemas.openxmlformats.org/officeDocument/2006/relationships/hyperlink" Target="consultantplus://offline/ref=8236D1C4E0C018DA829F9E5EE8BAF55AE14B8FE5361E1F4FB992AFFB2DC83B03654C8614380A2B63B2C9751583F25761702D61F4BAEA37BAZBZ5G" TargetMode="External"/><Relationship Id="rId8" Type="http://schemas.openxmlformats.org/officeDocument/2006/relationships/hyperlink" Target="consultantplus://offline/ref=8236D1C4E0C018DA829F9E5EE8BAF55AE4488DE63F1D4245B1CBA3F92AC7641462058A15380A2866B896700092AA5B656B3363E8A6E835ZBZ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5109</Words>
  <Characters>29122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2023-02-15T06:25:00Z</dcterms:created>
  <dcterms:modified xsi:type="dcterms:W3CDTF">2023-02-15T06:28:00Z</dcterms:modified>
</cp:coreProperties>
</file>